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771819" w:rsidRPr="00771819" w:rsidTr="00771819">
        <w:trPr>
          <w:trHeight w:val="570"/>
          <w:tblCellSpacing w:w="0" w:type="dxa"/>
        </w:trPr>
        <w:tc>
          <w:tcPr>
            <w:tcW w:w="0" w:type="auto"/>
            <w:vAlign w:val="center"/>
            <w:hideMark/>
          </w:tcPr>
          <w:p w:rsidR="00771819" w:rsidRPr="00771819" w:rsidRDefault="00771819" w:rsidP="00771819">
            <w:pPr>
              <w:spacing w:after="0" w:line="240" w:lineRule="auto"/>
              <w:rPr>
                <w:rFonts w:ascii="Times New Roman" w:eastAsia="Times New Roman" w:hAnsi="Times New Roman" w:cs="Times New Roman"/>
                <w:color w:val="626262"/>
                <w:sz w:val="27"/>
                <w:szCs w:val="27"/>
              </w:rPr>
            </w:pPr>
            <w:r w:rsidRPr="00771819">
              <w:rPr>
                <w:rFonts w:ascii="Times New Roman" w:eastAsia="Times New Roman" w:hAnsi="Times New Roman" w:cs="Times New Roman"/>
                <w:color w:val="626262"/>
                <w:sz w:val="27"/>
                <w:szCs w:val="27"/>
              </w:rPr>
              <w:t>Международный стандарт финансовой отчетности (IAS) 1 «Представление финансовой отчетности»</w:t>
            </w:r>
          </w:p>
        </w:tc>
      </w:tr>
      <w:tr w:rsidR="00771819" w:rsidRPr="00771819" w:rsidTr="00771819">
        <w:trPr>
          <w:tblCellSpacing w:w="0" w:type="dxa"/>
        </w:trPr>
        <w:tc>
          <w:tcPr>
            <w:tcW w:w="0" w:type="auto"/>
            <w:vAlign w:val="center"/>
            <w:hideMark/>
          </w:tcPr>
          <w:p w:rsidR="00771819" w:rsidRPr="00771819" w:rsidRDefault="00771819" w:rsidP="00771819">
            <w:pPr>
              <w:spacing w:after="0"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b/>
                <w:bCs/>
                <w:color w:val="626262"/>
                <w:sz w:val="20"/>
              </w:rPr>
              <w:t>Международный стандарт финансовой отчетности (IAS) 1 «Представление финансовой отчетности»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b/>
                <w:bCs/>
                <w:color w:val="626262"/>
                <w:sz w:val="20"/>
              </w:rPr>
              <w:t>Цель</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1              Цель настоящего стандарта - установить основу для представления финансовой отчетности общего назначения с тем, чтобы обеспечить ее сопоставимость как с финансовой отчетностью предприятия за предыдущие периоды, так и с финансовой отчетностью других предприятий. Для достижения указанной цели в настоящем стандарте излагаются общие требования по представлению финансовой отчетности, рекомендации по ее структуре и минимальные требования по ее содержанию. Признание, измерение и раскрытие конкретных операций и других событий являются предметом рассмотрения других стандартов и разъяснений.</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b/>
                <w:bCs/>
                <w:color w:val="626262"/>
                <w:sz w:val="20"/>
              </w:rPr>
              <w:t>Сфера применения</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2              Настоящий стандарт должен применяться в отношении всей финансовой отчетности общего назначения, подготовленной и представленной в соответствии с Международными стандартами финансовой отчетности (IFRS).</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3              Финансовая отчетность общего назначения - это отчетность, предназначенная для удовлетворения потребностей тех пользователей, которые не имеют возможности получать отчетность, подготовленную специально для удовлетворения их особых информационных нужд. Финансовая отчетность общего назначения включает отчеты, которые представляются отдельно или в составе иного официального документа, такого, как годовой отчет или проспект эмиссии. Настоящий стандарт не регламентирует структуру и содержание сокращенной промежуточной финансовой отчетности, подготавливаемой в соответствии с МСФО (IAS) 34</w:t>
            </w:r>
            <w:r w:rsidRPr="00771819">
              <w:rPr>
                <w:rFonts w:ascii="Times New Roman" w:eastAsia="Times New Roman" w:hAnsi="Times New Roman" w:cs="Times New Roman"/>
                <w:color w:val="626262"/>
                <w:sz w:val="20"/>
              </w:rPr>
              <w:t> </w:t>
            </w:r>
            <w:r w:rsidRPr="00771819">
              <w:rPr>
                <w:rFonts w:ascii="Times New Roman" w:eastAsia="Times New Roman" w:hAnsi="Times New Roman" w:cs="Times New Roman"/>
                <w:i/>
                <w:iCs/>
                <w:color w:val="626262"/>
                <w:sz w:val="20"/>
              </w:rPr>
              <w:t>«Промежуточная финансовая отчетность»</w:t>
            </w:r>
            <w:r w:rsidRPr="00771819">
              <w:rPr>
                <w:rFonts w:ascii="Times New Roman" w:eastAsia="Times New Roman" w:hAnsi="Times New Roman" w:cs="Times New Roman"/>
                <w:color w:val="626262"/>
                <w:sz w:val="20"/>
                <w:szCs w:val="20"/>
              </w:rPr>
              <w:t>. Тем не менее, на такую финансовую отчетность распространяется действие пунктов 13-41. Настоящий стандарт в равной мере применяется ко всем предприятиям, и его применение не зависит от того, должны ли предприятия составлять консолидированную финансовую отчетность или отдельную отчетность предприятия в значении, определенном в МСФО (IAS) 27</w:t>
            </w:r>
            <w:r w:rsidRPr="00771819">
              <w:rPr>
                <w:rFonts w:ascii="Times New Roman" w:eastAsia="Times New Roman" w:hAnsi="Times New Roman" w:cs="Times New Roman"/>
                <w:color w:val="626262"/>
                <w:sz w:val="20"/>
              </w:rPr>
              <w:t> </w:t>
            </w:r>
            <w:r w:rsidRPr="00771819">
              <w:rPr>
                <w:rFonts w:ascii="Times New Roman" w:eastAsia="Times New Roman" w:hAnsi="Times New Roman" w:cs="Times New Roman"/>
                <w:i/>
                <w:iCs/>
                <w:color w:val="626262"/>
                <w:sz w:val="20"/>
              </w:rPr>
              <w:t>«Консолидированная и отдельная финансовая отчетность предприятия»</w:t>
            </w:r>
            <w:r w:rsidRPr="00771819">
              <w:rPr>
                <w:rFonts w:ascii="Times New Roman" w:eastAsia="Times New Roman" w:hAnsi="Times New Roman" w:cs="Times New Roman"/>
                <w:color w:val="626262"/>
                <w:sz w:val="20"/>
                <w:szCs w:val="20"/>
              </w:rPr>
              <w:t>.</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4              [Удален]</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5              В настоящем стандарте использована терминология, которая подходит для коммерческих предприятий, включая коммерческие предприятия государственного сектора. Предприятиям частного, общественного или государственного сектора, осуществляющим некоммерческую деятельность, которые намерены применить настоящий стандарт, возможно, потребуется внести изменения в наименования отдельных статей финансовой отчетности и самих отчетов.</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6              Аналогичным образом, предприятиям, которые не имеют собственного капитала в значении, определенном в МСФО (IAS) 32</w:t>
            </w:r>
            <w:r w:rsidRPr="00771819">
              <w:rPr>
                <w:rFonts w:ascii="Times New Roman" w:eastAsia="Times New Roman" w:hAnsi="Times New Roman" w:cs="Times New Roman"/>
                <w:color w:val="626262"/>
                <w:sz w:val="20"/>
              </w:rPr>
              <w:t> </w:t>
            </w:r>
            <w:r w:rsidRPr="00771819">
              <w:rPr>
                <w:rFonts w:ascii="Times New Roman" w:eastAsia="Times New Roman" w:hAnsi="Times New Roman" w:cs="Times New Roman"/>
                <w:i/>
                <w:iCs/>
                <w:color w:val="626262"/>
                <w:sz w:val="20"/>
              </w:rPr>
              <w:t>«Финансовые инструменты: представление информации»</w:t>
            </w:r>
            <w:r w:rsidRPr="00771819">
              <w:rPr>
                <w:rFonts w:ascii="Times New Roman" w:eastAsia="Times New Roman" w:hAnsi="Times New Roman" w:cs="Times New Roman"/>
                <w:color w:val="626262"/>
                <w:sz w:val="20"/>
              </w:rPr>
              <w:t> </w:t>
            </w:r>
            <w:r w:rsidRPr="00771819">
              <w:rPr>
                <w:rFonts w:ascii="Times New Roman" w:eastAsia="Times New Roman" w:hAnsi="Times New Roman" w:cs="Times New Roman"/>
                <w:color w:val="626262"/>
                <w:sz w:val="20"/>
                <w:szCs w:val="20"/>
              </w:rPr>
              <w:t>(например, некоторым взаимным фондам), и предприятиям, долевые вклады которых не есть собственный капитал (например, некоторым кооперативным предприятиям), возможно, потребуется скорректировать форму представления информации о долях участников или пайщиков.</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Назначение финансовой отчетности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7              Финансовая отчетность представляет собой структурированное отображение финансового положения и финансовых результатов предприятия. Целью финансовой отчетности общего назначения является представление информации о финансовом положении, финансовых результатах и движении денежных средств предприятия, которая будет полезна широкому кругу пользователей при принятии ими экономических решений. Финансовая отчетность также показывает результаты управления ресурсами, доверенными руководству предприятия. Для достижения указанной цели финансовая отчетность содержит сведения о следующих показателях деятельности предприятия:</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lastRenderedPageBreak/>
              <w:t>(a)           активы;</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(b)           обязательства;</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(c)           собственный капитал;</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(d)           доходы и расходы, включая прибыли и убытки;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(e)           прочие изменения в собственном капитале; 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(f)            движение денежных средств.</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Эти сведения наряду с дополнительной информацией, содержащейся в примечаниях, помогает пользователям финансовой отчетности прогнозировать будущие потоки денежных средств и, в частности, сроки и вероятность их возникновения.</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Компоненты финансовой отчетности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8              Полный комплект финансовой отчетности включает:</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(a)           баланс;</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(b)           отчет о прибылях и убытках;</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(c)           отчет об изменениях в собственном капитале, отражающий либо:</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(i)            все изменения в собственном капитале, либо</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(ii)           изменения в собственном капитале, за исключением тех, которые возникают в результате операций с владельцами собственного капитала, действующими в качестве владельцев собственного капитала;</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(d)           отчет о движении денежных средств; 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(e)           примечания, состоящие из краткого обзора основных принципов учетной политики и прочих пояснений к отчетности.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9              Помимо финансовой отчетности, многие предприятия представляют финансовый обзор руководства, в котором описываются и объясняются основные характеристики финансовых результатов и финансового положения предприятия, а также основные ситуации неопределенности, с которыми оно сталкивается. Такой отчет может содержать обзор:</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(a)           основных факторов и влияний, определяющих финансовые результаты, включая изменения внешней среды, в которой функционирует предприятие, реакцию предприятия на эти изменения и их воздействие, а также инвестиционную политику предприятия, направленную на поддержание и улучшение финансовых результатов, в том числе политику в отношении дивидендов;</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(b)           источников предоставления средств предприятия и его целевых показателей соотношения обязательств и собственного капитала; 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(c)           тех ресурсов предприятия, которые не признаны в балансе в соответствии с МСФО (IFRS).</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10            Помимо финансовой отчетности, многие предприятия также представляют отчеты и официальные бюллетени, такие, как отчеты по вопросам охраны окружающей среды и официальные бюллетени о добавленной стоимости, особенно в отраслях, где факторы охраны окружающей среды имеют большое значение и где работники рассматриваются в качестве важной группы пользователей отчетности. Отчеты и официальные бюллетени, представляемые помимо финансовой отчетности, не входят в сферу применения МСФО (IFRS).</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lastRenderedPageBreak/>
              <w:t>Определения</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11           В настоящем стандарте используются следующие термины в указанных значениях:</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u w:val="single"/>
              </w:rPr>
              <w:t>Практически невозможно</w:t>
            </w:r>
            <w:r w:rsidRPr="00771819">
              <w:rPr>
                <w:rFonts w:ascii="Times New Roman" w:eastAsia="Times New Roman" w:hAnsi="Times New Roman" w:cs="Times New Roman"/>
                <w:color w:val="626262"/>
                <w:sz w:val="20"/>
                <w:szCs w:val="20"/>
              </w:rPr>
              <w:t>. Применение какого-либо требования представляется практически невозможным, когда предприятие не может его применить, несмотря на все реально возможные попытки сделать это.</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u w:val="single"/>
              </w:rPr>
              <w:t>Международные стандарты финансовой отчетности (МСФО</w:t>
            </w:r>
            <w:r w:rsidRPr="00771819">
              <w:rPr>
                <w:rFonts w:ascii="Times New Roman" w:eastAsia="Times New Roman" w:hAnsi="Times New Roman" w:cs="Times New Roman"/>
                <w:color w:val="626262"/>
                <w:sz w:val="20"/>
                <w:u w:val="single"/>
              </w:rPr>
              <w:t> </w:t>
            </w:r>
            <w:r w:rsidRPr="00771819">
              <w:rPr>
                <w:rFonts w:ascii="Times New Roman" w:eastAsia="Times New Roman" w:hAnsi="Times New Roman" w:cs="Times New Roman"/>
                <w:color w:val="626262"/>
                <w:sz w:val="20"/>
                <w:szCs w:val="20"/>
                <w:u w:val="single"/>
              </w:rPr>
              <w:t>(IFRS))</w:t>
            </w:r>
            <w:r w:rsidRPr="00771819">
              <w:rPr>
                <w:rFonts w:ascii="Times New Roman" w:eastAsia="Times New Roman" w:hAnsi="Times New Roman" w:cs="Times New Roman"/>
                <w:color w:val="626262"/>
                <w:sz w:val="20"/>
              </w:rPr>
              <w:t> </w:t>
            </w:r>
            <w:r w:rsidRPr="00771819">
              <w:rPr>
                <w:rFonts w:ascii="Times New Roman" w:eastAsia="Times New Roman" w:hAnsi="Times New Roman" w:cs="Times New Roman"/>
                <w:color w:val="626262"/>
                <w:sz w:val="20"/>
                <w:szCs w:val="20"/>
              </w:rPr>
              <w:t>- это стандарты и разъяснения, принятые Правлением Комитета по международным стандартам финансовой отчетности (Правление КМСФО). Они состоят из:</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(a)           Международных стандартов финансовой отчетности (IFRS);</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(b)           Международных стандартов финансовой отчетности (IAS); 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(c)           разъяснений, подготовленных Комитетом по разъяснениям международной финансовой отчетности (КРМФО) или ранее действовавшим Постоянным комитетом по разъяснениям (ПКР).</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u w:val="single"/>
              </w:rPr>
              <w:t>Существенный</w:t>
            </w:r>
            <w:r w:rsidRPr="00771819">
              <w:rPr>
                <w:rFonts w:ascii="Times New Roman" w:eastAsia="Times New Roman" w:hAnsi="Times New Roman" w:cs="Times New Roman"/>
                <w:color w:val="626262"/>
                <w:sz w:val="20"/>
              </w:rPr>
              <w:t> </w:t>
            </w:r>
            <w:r w:rsidRPr="00771819">
              <w:rPr>
                <w:rFonts w:ascii="Times New Roman" w:eastAsia="Times New Roman" w:hAnsi="Times New Roman" w:cs="Times New Roman"/>
                <w:color w:val="626262"/>
                <w:sz w:val="20"/>
                <w:szCs w:val="20"/>
              </w:rPr>
              <w:t>- Пропуски или искажения статей считаются существенными, если они по отдельности или в совокупности могли бы повлиять на экономические решения пользователей, принимаемые на основании финансовой отчетности. Существенность зависит от размера и характера пропущенной информации или искажения, оцениваемых в рамках сопутствующих обстоятельств. Размер или характер статьи, или их сочетание могут быть определяющим фактором.</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i/>
                <w:iCs/>
                <w:color w:val="626262"/>
                <w:sz w:val="20"/>
              </w:rPr>
              <w:t>Примечания</w:t>
            </w:r>
            <w:r w:rsidRPr="00771819">
              <w:rPr>
                <w:rFonts w:ascii="Times New Roman" w:eastAsia="Times New Roman" w:hAnsi="Times New Roman" w:cs="Times New Roman"/>
                <w:color w:val="626262"/>
                <w:sz w:val="20"/>
              </w:rPr>
              <w:t> </w:t>
            </w:r>
            <w:r w:rsidRPr="00771819">
              <w:rPr>
                <w:rFonts w:ascii="Times New Roman" w:eastAsia="Times New Roman" w:hAnsi="Times New Roman" w:cs="Times New Roman"/>
                <w:color w:val="626262"/>
                <w:sz w:val="20"/>
                <w:szCs w:val="20"/>
              </w:rPr>
              <w:t>содержат информацию, дополняющую данные баланса, отчета о прибылях и убытках, отчета об изменениях в собственном капитале и отчета о движении денежных средств. Примечания включают описания или детализированные расшифровки статей, раскрытых в указанной отчетности, а также информацию о статьях, не подлежащих признанию в отчетности.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12            Оценка того, могут ли пропуск или искажение информации повлиять на экономические решения пользователей финансовой отчетности и, следовательно, быть существенными, требует рассмотрения характеристик этих пользователей. Пункт 25 «</w:t>
            </w:r>
            <w:r w:rsidRPr="00771819">
              <w:rPr>
                <w:rFonts w:ascii="Times New Roman" w:eastAsia="Times New Roman" w:hAnsi="Times New Roman" w:cs="Times New Roman"/>
                <w:i/>
                <w:iCs/>
                <w:color w:val="626262"/>
                <w:sz w:val="20"/>
              </w:rPr>
              <w:t>Концепции подготовки и представления финансовой отчетности»</w:t>
            </w:r>
            <w:r w:rsidRPr="00771819">
              <w:rPr>
                <w:rFonts w:ascii="Times New Roman" w:eastAsia="Times New Roman" w:hAnsi="Times New Roman" w:cs="Times New Roman"/>
                <w:color w:val="626262"/>
                <w:sz w:val="20"/>
              </w:rPr>
              <w:t> </w:t>
            </w:r>
            <w:r w:rsidRPr="00771819">
              <w:rPr>
                <w:rFonts w:ascii="Times New Roman" w:eastAsia="Times New Roman" w:hAnsi="Times New Roman" w:cs="Times New Roman"/>
                <w:color w:val="626262"/>
                <w:sz w:val="20"/>
                <w:szCs w:val="20"/>
              </w:rPr>
              <w:t>указывает на то, что</w:t>
            </w:r>
            <w:r w:rsidRPr="00771819">
              <w:rPr>
                <w:rFonts w:ascii="Times New Roman" w:eastAsia="Times New Roman" w:hAnsi="Times New Roman" w:cs="Times New Roman"/>
                <w:i/>
                <w:iCs/>
                <w:color w:val="626262"/>
                <w:sz w:val="20"/>
              </w:rPr>
              <w:t> </w:t>
            </w:r>
            <w:r w:rsidRPr="00771819">
              <w:rPr>
                <w:rFonts w:ascii="Times New Roman" w:eastAsia="Times New Roman" w:hAnsi="Times New Roman" w:cs="Times New Roman"/>
                <w:color w:val="626262"/>
                <w:sz w:val="20"/>
                <w:szCs w:val="20"/>
              </w:rPr>
              <w:t>«предполагается, что пользователи должны иметь достаточные знания в области бизнеса и экономической деятельности, бухгалтерского учета и желание изучать информацию с должным старанием». Поэтому при оценке необходимо учитывать, насколько обоснованно можно предположить, что будет оказано влияние на экономические решения пользователей с такими характеристиками.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b/>
                <w:bCs/>
                <w:color w:val="626262"/>
                <w:sz w:val="20"/>
              </w:rPr>
              <w:t>Общие соображения</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b/>
                <w:bCs/>
                <w:color w:val="626262"/>
                <w:sz w:val="20"/>
              </w:rPr>
              <w:t>Достоверное представление и соответствие МСФО (IFRS)</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13           Финансовая отчетность должна достоверно представлять финансовое положение, финансовые результаты и движение денежных средств предприятия. Достоверное представление требует правдивого отображения последствий совершенных операций, других событий и условий в соответствии с определениями и критериями признания активов, обязательств, доходов и расходов, изложенными в</w:t>
            </w:r>
            <w:r w:rsidRPr="00771819">
              <w:rPr>
                <w:rFonts w:ascii="Times New Roman" w:eastAsia="Times New Roman" w:hAnsi="Times New Roman" w:cs="Times New Roman"/>
                <w:i/>
                <w:iCs/>
                <w:color w:val="626262"/>
                <w:sz w:val="20"/>
              </w:rPr>
              <w:t>«Концепции».</w:t>
            </w:r>
            <w:r w:rsidRPr="00771819">
              <w:rPr>
                <w:rFonts w:ascii="Times New Roman" w:eastAsia="Times New Roman" w:hAnsi="Times New Roman" w:cs="Times New Roman"/>
                <w:color w:val="626262"/>
                <w:sz w:val="20"/>
              </w:rPr>
              <w:t> </w:t>
            </w:r>
            <w:r w:rsidRPr="00771819">
              <w:rPr>
                <w:rFonts w:ascii="Times New Roman" w:eastAsia="Times New Roman" w:hAnsi="Times New Roman" w:cs="Times New Roman"/>
                <w:color w:val="626262"/>
                <w:sz w:val="20"/>
                <w:szCs w:val="20"/>
              </w:rPr>
              <w:t>Предполагается, что применение МСФО (IFRS), при необходимости - с дополнительным раскрытием информации, обеспечивает формирование финансовой отчетности, решающей задачу достоверного представления.</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14           Предприятие, финансовая отчетность которого соответствует МСФО (IFRS), должно сделать четкое и безоговорочное заявление о таком соответствии в примечаниях к финансовой отчетности. Не допускается описание финансовой отчетности как соответствующей МСФО (IFRS), если она не соответствует всем требованиям МСФО (IFRS).</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xml:space="preserve">15            Практически при любых обстоятельствах достоверное представление обеспечивается за счет соответствия применимым МСФО (IFRS). Для обеспечения достоверного представления предприятие также </w:t>
            </w:r>
            <w:r w:rsidRPr="00771819">
              <w:rPr>
                <w:rFonts w:ascii="Times New Roman" w:eastAsia="Times New Roman" w:hAnsi="Times New Roman" w:cs="Times New Roman"/>
                <w:color w:val="626262"/>
                <w:sz w:val="20"/>
                <w:szCs w:val="20"/>
              </w:rPr>
              <w:lastRenderedPageBreak/>
              <w:t>должно:</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(a)           избрать и применять учетную политику в соответствии с МСФО (IAS) 8</w:t>
            </w:r>
            <w:r w:rsidRPr="00771819">
              <w:rPr>
                <w:rFonts w:ascii="Times New Roman" w:eastAsia="Times New Roman" w:hAnsi="Times New Roman" w:cs="Times New Roman"/>
                <w:color w:val="626262"/>
                <w:sz w:val="20"/>
              </w:rPr>
              <w:t> </w:t>
            </w:r>
            <w:r w:rsidRPr="00771819">
              <w:rPr>
                <w:rFonts w:ascii="Times New Roman" w:eastAsia="Times New Roman" w:hAnsi="Times New Roman" w:cs="Times New Roman"/>
                <w:i/>
                <w:iCs/>
                <w:color w:val="626262"/>
                <w:sz w:val="20"/>
              </w:rPr>
              <w:t>« Учетная политика, изменения в бухгалтерских оценках и ошибки»</w:t>
            </w:r>
            <w:r w:rsidRPr="00771819">
              <w:rPr>
                <w:rFonts w:ascii="Times New Roman" w:eastAsia="Times New Roman" w:hAnsi="Times New Roman" w:cs="Times New Roman"/>
                <w:color w:val="626262"/>
                <w:sz w:val="20"/>
                <w:szCs w:val="20"/>
              </w:rPr>
              <w:t>. МСФО (IAS) 8 содержит свод методологических рекомендаций, на которые должно опираться руководство при отсутствии стандарта или разъяснения, применимого к конкретной статье.</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(b)           представлять информацию, включая учетную политику, таким образом, чтобы обеспечить уместную, надежную, сопоставимую и понятную информацию.</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(c)           обеспечить дополнительное раскрытие информации в тех случаях, когда соблюдения соответствующих требований МСФО (IFRS) недостаточно для того, чтобы пользователи могли понять воздействие конкретных операций, других событий и условий на финансовое положение и финансовые результаты предприятия.</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16           Ненадлежащая учетная политика не компенсируется ни раскрытием применяемой учетной политики, ни примечаниями или иными пояснительными материалами.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17           В исключительно редких случаях, когда руководство приходит к выводу, что соблюдение какого-либо требования стандарта или разъяснения может до такой степени вводить в заблуждение, что возникнет противоречие с целью финансовой отчетности, изложенной в</w:t>
            </w:r>
            <w:r w:rsidRPr="00771819">
              <w:rPr>
                <w:rFonts w:ascii="Times New Roman" w:eastAsia="Times New Roman" w:hAnsi="Times New Roman" w:cs="Times New Roman"/>
                <w:color w:val="626262"/>
                <w:sz w:val="20"/>
              </w:rPr>
              <w:t> </w:t>
            </w:r>
            <w:r w:rsidRPr="00771819">
              <w:rPr>
                <w:rFonts w:ascii="Times New Roman" w:eastAsia="Times New Roman" w:hAnsi="Times New Roman" w:cs="Times New Roman"/>
                <w:i/>
                <w:iCs/>
                <w:color w:val="626262"/>
                <w:sz w:val="20"/>
              </w:rPr>
              <w:t>«Концепции»</w:t>
            </w:r>
            <w:r w:rsidRPr="00771819">
              <w:rPr>
                <w:rFonts w:ascii="Times New Roman" w:eastAsia="Times New Roman" w:hAnsi="Times New Roman" w:cs="Times New Roman"/>
                <w:color w:val="626262"/>
                <w:sz w:val="20"/>
                <w:szCs w:val="20"/>
              </w:rPr>
              <w:t>, предприятие должно отказаться от выполнения такого требования, прибегнув к способу, описанному в пункте 18, если соответствующая нормативно-правовая база предписывает или не запрещает произвести такое отступление.</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18           Если предприятие отказывается от выполнения требования какого-либо стандарта или разъяснения в соответствии с пунктом 17, оно должно раскрыть следующую информацию:</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(a)           что руководство пришло к выводу, что финансовая отчетность достоверно представляет финансовое положение, финансовые результаты и движение денежных средств предприятия;</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(b)           что оно выполнило требования применимых стандартов и разъяснений, за исключением того, что оно отказалось от выполнения данного конкретного требования с целью обеспечения достоверного представления;</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(c)           наименование стандарта или разъяснения, от выполнения требований которого предприятие отступило, характер отступления, включая порядок учета, который требовался бы при применении этого стандарта или разъяснения, причину, по которой этот порядок учета вводил бы в заблуждение до такой степени, что возникало бы противоречие с целью финансовой отчетности, изложенной в</w:t>
            </w:r>
            <w:r w:rsidRPr="00771819">
              <w:rPr>
                <w:rFonts w:ascii="Times New Roman" w:eastAsia="Times New Roman" w:hAnsi="Times New Roman" w:cs="Times New Roman"/>
                <w:color w:val="626262"/>
                <w:sz w:val="20"/>
              </w:rPr>
              <w:t> </w:t>
            </w:r>
            <w:r w:rsidRPr="00771819">
              <w:rPr>
                <w:rFonts w:ascii="Times New Roman" w:eastAsia="Times New Roman" w:hAnsi="Times New Roman" w:cs="Times New Roman"/>
                <w:i/>
                <w:iCs/>
                <w:color w:val="626262"/>
                <w:sz w:val="20"/>
              </w:rPr>
              <w:t>«Концепции»</w:t>
            </w:r>
            <w:r w:rsidRPr="00771819">
              <w:rPr>
                <w:rFonts w:ascii="Times New Roman" w:eastAsia="Times New Roman" w:hAnsi="Times New Roman" w:cs="Times New Roman"/>
                <w:color w:val="626262"/>
                <w:sz w:val="20"/>
                <w:szCs w:val="20"/>
              </w:rPr>
              <w:t>, а также принятый порядок учета;</w:t>
            </w:r>
            <w:r w:rsidRPr="00771819">
              <w:rPr>
                <w:rFonts w:ascii="Times New Roman" w:eastAsia="Times New Roman" w:hAnsi="Times New Roman" w:cs="Times New Roman"/>
                <w:i/>
                <w:iCs/>
                <w:color w:val="626262"/>
                <w:sz w:val="20"/>
              </w:rPr>
              <w:t> </w:t>
            </w:r>
            <w:r w:rsidRPr="00771819">
              <w:rPr>
                <w:rFonts w:ascii="Times New Roman" w:eastAsia="Times New Roman" w:hAnsi="Times New Roman" w:cs="Times New Roman"/>
                <w:color w:val="626262"/>
                <w:sz w:val="20"/>
                <w:szCs w:val="20"/>
              </w:rPr>
              <w:t>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(d)           применительно к каждому отчетному периоду финансовое воздействие отступления на каждую статью финансовой отчетности, которая отражалась бы в отчетности в соответствии с невыполненным требованием.</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19           Если предприятие отступило от какого-либо требования стандарта или разъяснения в одном из предыдущих периодов и такое отступление повлияло на суммы, признанные в финансовой отчетности за текущий период, то оно должно раскрыть информацию, указанную в подпунктах (c) и (d) пункта 18.</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20            Пункт 19 применяется, например, если предприятие в одном из предыдущих периодов отступило от требования отдельного стандарта или разъяснения в отношении измерения активов или обязательств и такое отступление влияет на измерение изменения активов и обязательств в финансовой отчетности в текущем периоде.</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21           В исключительно редких случаях, когда руководство приходит к выводу, что соблюдение какого-либо требования стандарта или разъяснения может до такой степени вводить в заблуждение, что возникнет противоречие с целью финансовой отчетности, изложенной в</w:t>
            </w:r>
            <w:r w:rsidRPr="00771819">
              <w:rPr>
                <w:rFonts w:ascii="Times New Roman" w:eastAsia="Times New Roman" w:hAnsi="Times New Roman" w:cs="Times New Roman"/>
                <w:color w:val="626262"/>
                <w:sz w:val="20"/>
              </w:rPr>
              <w:t> </w:t>
            </w:r>
            <w:r w:rsidRPr="00771819">
              <w:rPr>
                <w:rFonts w:ascii="Times New Roman" w:eastAsia="Times New Roman" w:hAnsi="Times New Roman" w:cs="Times New Roman"/>
                <w:i/>
                <w:iCs/>
                <w:color w:val="626262"/>
                <w:sz w:val="20"/>
              </w:rPr>
              <w:t>«Концепции»</w:t>
            </w:r>
            <w:r w:rsidRPr="00771819">
              <w:rPr>
                <w:rFonts w:ascii="Times New Roman" w:eastAsia="Times New Roman" w:hAnsi="Times New Roman" w:cs="Times New Roman"/>
                <w:color w:val="626262"/>
                <w:sz w:val="20"/>
                <w:szCs w:val="20"/>
              </w:rPr>
              <w:t>, но при этом соответствующая нормативно-правовая база запрещает отступление от этого требования, предприятие должно в максимально возможной степени уменьшить воздействие тех аспектов соблюдения требования, которые воспринимаются как вводящие в заблуждение, путем раскрытия следующей информации: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lastRenderedPageBreak/>
              <w:t>(a)           наименование соответствующего стандарта или разъяснения, характер требования и причина, по которой руководство пришло к выводу, что соблюдение этого требования при данных обстоятельствах до такой степени вводит в заблуждение, что возникает противоречие с целью финансовой отчетности, изложенной в</w:t>
            </w:r>
            <w:r w:rsidRPr="00771819">
              <w:rPr>
                <w:rFonts w:ascii="Times New Roman" w:eastAsia="Times New Roman" w:hAnsi="Times New Roman" w:cs="Times New Roman"/>
                <w:color w:val="626262"/>
                <w:sz w:val="20"/>
              </w:rPr>
              <w:t> </w:t>
            </w:r>
            <w:r w:rsidRPr="00771819">
              <w:rPr>
                <w:rFonts w:ascii="Times New Roman" w:eastAsia="Times New Roman" w:hAnsi="Times New Roman" w:cs="Times New Roman"/>
                <w:i/>
                <w:iCs/>
                <w:color w:val="626262"/>
                <w:sz w:val="20"/>
              </w:rPr>
              <w:t>«Концепции»</w:t>
            </w:r>
            <w:r w:rsidRPr="00771819">
              <w:rPr>
                <w:rFonts w:ascii="Times New Roman" w:eastAsia="Times New Roman" w:hAnsi="Times New Roman" w:cs="Times New Roman"/>
                <w:color w:val="626262"/>
                <w:sz w:val="20"/>
                <w:szCs w:val="20"/>
              </w:rPr>
              <w:t>, 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(b)           применительно к каждому отчетному периоду корректировки по каждой статье финансовой отчетности, которые руководство считает необходимыми для обеспечения достоверного представления информации.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22            Для пунктов 17-21, статья отчетности будет противоречить цели финансовой отчетности, если она не обеспечивает правдивого отображения операций, других событий и условий, для отображения которых она предназначена или которые она, как можно обоснованно ожидать, отображает, и ввиду этого, вероятно, повлияет на экономические решения, принимаемые пользователями финансовой отчетности. При оценке того, не будет ли соблюдение конкретного требования какого-либо стандарта или разъяснения вводить в заблуждение до такой степени, что возникнет противоречие с целью финансовой отчетности, изложенной в</w:t>
            </w:r>
            <w:r w:rsidRPr="00771819">
              <w:rPr>
                <w:rFonts w:ascii="Times New Roman" w:eastAsia="Times New Roman" w:hAnsi="Times New Roman" w:cs="Times New Roman"/>
                <w:color w:val="626262"/>
                <w:sz w:val="20"/>
              </w:rPr>
              <w:t> </w:t>
            </w:r>
            <w:r w:rsidRPr="00771819">
              <w:rPr>
                <w:rFonts w:ascii="Times New Roman" w:eastAsia="Times New Roman" w:hAnsi="Times New Roman" w:cs="Times New Roman"/>
                <w:i/>
                <w:iCs/>
                <w:color w:val="626262"/>
                <w:sz w:val="20"/>
              </w:rPr>
              <w:t>«Концепции»</w:t>
            </w:r>
            <w:r w:rsidRPr="00771819">
              <w:rPr>
                <w:rFonts w:ascii="Times New Roman" w:eastAsia="Times New Roman" w:hAnsi="Times New Roman" w:cs="Times New Roman"/>
                <w:color w:val="626262"/>
                <w:sz w:val="20"/>
                <w:szCs w:val="20"/>
              </w:rPr>
              <w:t>, руководству следует проанализировать следующие аспекты:</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(a)           почему при данных обстоятельствах не реализуется цель финансовой отчетности; 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(b)           как обстоятельства предприятия отличаются от обстоятельств других предприятий, которые соблюдают это требование. Если при схожих обстоятельствах другие предприятия соблюдают данное требование, то существует опровержимое допущение, что соблюдение указанного требования предприятием не будет вводить в заблуждение в такой степени, что возникнет противоречие с целью финансовой отчетности, изложенной в</w:t>
            </w:r>
            <w:r w:rsidRPr="00771819">
              <w:rPr>
                <w:rFonts w:ascii="Times New Roman" w:eastAsia="Times New Roman" w:hAnsi="Times New Roman" w:cs="Times New Roman"/>
                <w:color w:val="626262"/>
                <w:sz w:val="20"/>
              </w:rPr>
              <w:t> </w:t>
            </w:r>
            <w:r w:rsidRPr="00771819">
              <w:rPr>
                <w:rFonts w:ascii="Times New Roman" w:eastAsia="Times New Roman" w:hAnsi="Times New Roman" w:cs="Times New Roman"/>
                <w:i/>
                <w:iCs/>
                <w:color w:val="626262"/>
                <w:sz w:val="20"/>
              </w:rPr>
              <w:t>«Концепции»</w:t>
            </w:r>
            <w:r w:rsidRPr="00771819">
              <w:rPr>
                <w:rFonts w:ascii="Times New Roman" w:eastAsia="Times New Roman" w:hAnsi="Times New Roman" w:cs="Times New Roman"/>
                <w:color w:val="626262"/>
                <w:sz w:val="20"/>
                <w:szCs w:val="20"/>
              </w:rPr>
              <w:t>.</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b/>
                <w:bCs/>
                <w:color w:val="626262"/>
                <w:sz w:val="20"/>
              </w:rPr>
              <w:t>Непрерывность деятельности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23           При подготовке финансовой отчетности руководство должно оценить способность предприятия продолжать свою деятельность. Финансовая отчетность должна составляться на основе допущения о непрерывности деятельности, за исключением случаев, когда руководство либо намеревается ликвидировать предприятие или прекратить его торговую деятельность, либо вынуждено действовать подобным образом в силу отсутствии реальных альтернатив. Если руководство, в ходе оценки, располагает информацией о существенной неопределенности в отношении событий или условий, которая может вызвать серьезные сомнения в способности предприятия непрерывно осуществлять свою деятельность в дальнейшем, то такая неопределенность должна быть раскрыта в отчетности. Если финансовая отчетность составляется не на основе допущения о непрерывности деятельности, то этот факт должен быть раскрыт в отчетности вместе с основой, использованной при подготовке финансовой отчетности, а также причиной, по которой предприятие считается неспособным непрерывно продолжать свою деятельность.</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24            При оценке того, является ли допущение о непрерывности деятельности правильным, руководство учитывает всю имеющуюся информацию о будущем, которая охватывает не менее двенадцати месяцев после отчетной даты, но не ограничивается этим сроком. Глубина анализа зависит от конкретных фактов в каждом отдельном случае. Если предприятие в течение многих лет осуществляет прибыльную деятельность и имеет свободный доступ к финансовым ресурсам, вывод о том, что допущение о непрерывности деятельности является правильным, может быть сделан без проведения детального анализа. При других обстоятельствах руководству, возможно, потребуется проанализировать широкий спектр факторов, относящихся к текущей и будущей прибыльности, графикам погашения задолженности и потенциальным источникам рефинансирования, прежде чем оно сможет убедиться в приемлемости допущения о непрерывности деятельности.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b/>
                <w:bCs/>
                <w:color w:val="626262"/>
                <w:sz w:val="20"/>
              </w:rPr>
              <w:t>Учет на основе принципа начисления</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25           Предприятие должно составлять свою финансовую отчетность на основе принципа начисления, за исключением информации о движении денежных средств.</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xml:space="preserve">26            При применении учета на основе принципа начисления статьи признаются в качестве активов, </w:t>
            </w:r>
            <w:r w:rsidRPr="00771819">
              <w:rPr>
                <w:rFonts w:ascii="Times New Roman" w:eastAsia="Times New Roman" w:hAnsi="Times New Roman" w:cs="Times New Roman"/>
                <w:color w:val="626262"/>
                <w:sz w:val="20"/>
                <w:szCs w:val="20"/>
              </w:rPr>
              <w:lastRenderedPageBreak/>
              <w:t>обязательств, собственного капитала, доходов и расходов (элементы финансовой отчетности), если они соответствуют определениям и критериям признания этих элементов, изложенным в «Концепции».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b/>
                <w:bCs/>
                <w:color w:val="626262"/>
                <w:sz w:val="20"/>
              </w:rPr>
              <w:t>Последовательность в представлении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27           Представление и классификация статей в финансовой отчетности должны оставаться неизменными от периода к периоду, за исключением следующих случаев:</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(a)           в результате значительного изменения в характере деятельности предприятия или анализа его финансовой отчетности становится очевидным, что иное представление информации или иная классификация были бы более приемлемыми с учетом критериев выбора и применения учетной политики, установленных в МСФО (IAS) 8; или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(b)           какой-либо стандарт или какое-либо разъяснение требует изменения в представлении информации.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28            Значительное приобретение или выбытие, или анализ представления информации в финансовой отчетности могут указывать на необходимость представления информации в финансовой отчетности другим образом. Предприятие изменяет представление информации в своей финансовой отчетности только в тех случаях, когда новое представление обеспечивает информацию, которая является надежной и более уместной для пользователей финансовой отчетности, и когда пересмотренная структура, вероятнее всего, будет сохранена и в будущем с тем, чтобы не нарушалась сопоставимость информации. При внесении изменений в представление информации в финансовой отчетности предприятие реклассифицирует сравнительную информацию в соответствии с пунктами 38 и 39.</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b/>
                <w:bCs/>
                <w:color w:val="626262"/>
                <w:sz w:val="20"/>
              </w:rPr>
              <w:t>Существенность и агрегирование</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29           Каждый существенный класс аналогичных статей должен представляться в финансовой отчетности отдельно. Статьи, отличающиеся по характеру или функции, должны представляться отдельно, за исключением случаев, когда они являются несущественными.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30            Финансовая отчетность является результатом обработки большого количества операций или других событий, которые объединяются в классы (виды) на основе своего характера или функции. Завершающий этап процесса агрегирования и классификации заключается в представлении сжатых и классифицированных данных, которые либо образуют статьи непосредственно в самом балансе, отчете о прибылях и убытках, отчете об изменениях в собственном капитале или отчете о движении денежных средств, либо включаются в качестве отдельных статей в примечания. Если какая-либо статья сама по себе не является существенной, она объединяется с другими статьями либо непосредственно в формах финансовой отчетности, либо в примечаниях. Статья, которая не является достаточно существенной для отдельного представления непосредственно в формах финансовой отчетности, тем не менее, может оказаться достаточно существенной для отдельного представления в примечаниях.</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31            Применение концепции существенности означает, что выполнение конкретного требования какого-либо стандарта или разъяснения по раскрытию информации не требуется, если соответствующая информация не является существенной.</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b/>
                <w:bCs/>
                <w:color w:val="626262"/>
                <w:sz w:val="20"/>
              </w:rPr>
              <w:t>Взаимозачет</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32           Активы и обязательства, а также доходы и расходы не подлежат взаимозачету (свернутому представлению), если только это не требуется или не разрешено в соответствии с каким-либо стандартом или разъяснением.</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xml:space="preserve">33            Важно, чтобы активы и обязательства, а также доходы и расходы отражались в отчетности развернуто. Свернутое представление статей в отчете о прибылях или убытках или балансе, за исключением случаев, когда такое представление отражает содержание операции или другого события, снижает </w:t>
            </w:r>
            <w:r w:rsidRPr="00771819">
              <w:rPr>
                <w:rFonts w:ascii="Times New Roman" w:eastAsia="Times New Roman" w:hAnsi="Times New Roman" w:cs="Times New Roman"/>
                <w:color w:val="626262"/>
                <w:sz w:val="20"/>
                <w:szCs w:val="20"/>
              </w:rPr>
              <w:lastRenderedPageBreak/>
              <w:t>способность пользователей как понимать совершенные операции, а также другие возникшие события и условия, так и оценивать будущие потоки денежных средств предприятия. Измерение активов на нетто-основе за вычетом оценочных резервов, например, резервов на устаревание запасов или резервов по сомнительным долгам, не считается свернутым представлением.</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34            МСФО (IAS) 18</w:t>
            </w:r>
            <w:r w:rsidRPr="00771819">
              <w:rPr>
                <w:rFonts w:ascii="Times New Roman" w:eastAsia="Times New Roman" w:hAnsi="Times New Roman" w:cs="Times New Roman"/>
                <w:color w:val="626262"/>
                <w:sz w:val="20"/>
              </w:rPr>
              <w:t> </w:t>
            </w:r>
            <w:r w:rsidRPr="00771819">
              <w:rPr>
                <w:rFonts w:ascii="Times New Roman" w:eastAsia="Times New Roman" w:hAnsi="Times New Roman" w:cs="Times New Roman"/>
                <w:i/>
                <w:iCs/>
                <w:color w:val="626262"/>
                <w:sz w:val="20"/>
              </w:rPr>
              <w:t>«Выручка»</w:t>
            </w:r>
            <w:r w:rsidRPr="00771819">
              <w:rPr>
                <w:rFonts w:ascii="Times New Roman" w:eastAsia="Times New Roman" w:hAnsi="Times New Roman" w:cs="Times New Roman"/>
                <w:color w:val="626262"/>
                <w:sz w:val="20"/>
              </w:rPr>
              <w:t> </w:t>
            </w:r>
            <w:r w:rsidRPr="00771819">
              <w:rPr>
                <w:rFonts w:ascii="Times New Roman" w:eastAsia="Times New Roman" w:hAnsi="Times New Roman" w:cs="Times New Roman"/>
                <w:color w:val="626262"/>
                <w:sz w:val="20"/>
                <w:szCs w:val="20"/>
              </w:rPr>
              <w:t>дает определение выручки и требует, чтобы она измерялась по справедливой стоимости полученного или причитающегося возмещения с учетом суммы любых торговых и оптовых скидок, предоставленных предприятием. В ходе своей обычной деятельности предприятие совершает и другие операции, которые не приносят выручку, но которые являются сопутствующими по отношению к основной деятельности, приносящей выручку. Представление результатов таких операций производится на основе свернутого представления доходов и соответствующих расходов, возникающих по одной и той же операции, в случаях, когда такое представление отражает содержание операции или другого события. Например:</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(a)           прибыли и убытки от выбытия долгосрочных (внеоборотных) активов, включая инвестиции и операционные активы, отражаются в учете путем вычитания балансовой стоимости актива и соответствующих расходов по его продаже из вырученной от выбытия суммы; 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(b)           затраты по формированию резервов, признаваемых в соответствии с МСФО (IAS) 37</w:t>
            </w:r>
            <w:r w:rsidRPr="00771819">
              <w:rPr>
                <w:rFonts w:ascii="Times New Roman" w:eastAsia="Times New Roman" w:hAnsi="Times New Roman" w:cs="Times New Roman"/>
                <w:color w:val="626262"/>
                <w:sz w:val="20"/>
              </w:rPr>
              <w:t> </w:t>
            </w:r>
            <w:r w:rsidRPr="00771819">
              <w:rPr>
                <w:rFonts w:ascii="Times New Roman" w:eastAsia="Times New Roman" w:hAnsi="Times New Roman" w:cs="Times New Roman"/>
                <w:i/>
                <w:iCs/>
                <w:color w:val="626262"/>
                <w:sz w:val="20"/>
              </w:rPr>
              <w:t>«Оценочные резервы, условные обязательства и условные активы»</w:t>
            </w:r>
            <w:r w:rsidRPr="00771819">
              <w:rPr>
                <w:rFonts w:ascii="Times New Roman" w:eastAsia="Times New Roman" w:hAnsi="Times New Roman" w:cs="Times New Roman"/>
                <w:color w:val="626262"/>
                <w:sz w:val="20"/>
              </w:rPr>
              <w:t> </w:t>
            </w:r>
            <w:r w:rsidRPr="00771819">
              <w:rPr>
                <w:rFonts w:ascii="Times New Roman" w:eastAsia="Times New Roman" w:hAnsi="Times New Roman" w:cs="Times New Roman"/>
                <w:color w:val="626262"/>
                <w:sz w:val="20"/>
                <w:szCs w:val="20"/>
              </w:rPr>
              <w:t>и возмещаемые по условиям положения договора с третьим лицом (например, соглашение о гарантийных обязательствах поставщика), могут представляться свернуто с полученным возмещением.</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35            Кроме того, прибыли и убытки, возникающие по группе аналогичных операций, отражаются в отчетности на нетто-основе, например, положительные и отрицательные курсовые разницы или прибыли и убытки, возникающие по финансовым инструментам, предназначенным для торговли. Тем не менее, если такие прибыли и убытки являются существенными, то они отражаются развернуто.</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b/>
                <w:bCs/>
                <w:color w:val="626262"/>
                <w:sz w:val="20"/>
              </w:rPr>
              <w:t>Сравнительная информация</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36           За исключением случаев, когда стандарт или разъяснение допускает или требует иное, по всем суммам, отраженным в финансовой отчетности, должна раскрываться сравнительная информация за предыдущий период. Сравнительная информация должна также включаться и в описательную часть, если она уместна с точки зрения понимания финансовой отчетности за текущий период.</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37            В некоторых случаях описательная информация, содержащаяся в финансовой отчетности за предыдущий период (предыдущие периоды), сохраняет свою уместность и для текущего периода. Например, подробности правового спора, исход которого на последнюю отчетную дату был еще не определен и который еще предстоит разрешить, раскрываются в текущем периоде. Для пользователей полезна информация о том, что на последнюю отчетную дату существовала неопределенность, а также о том, какие меры предпринимались в течение периода для разрешения данной неопределенности.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38           В случае изменения представления или классификации статей в финансовой отчетности сравнительные суммы следует также реклассифицировать, за исключением случаев, когда реклассификация практически невозможна. При реклассификации сравнительных сумм предприятие должно раскрыть следующую информацию:</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(a)           характер реклассификации;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(b)           сумма каждой статьи или класса статей, которые являются предметом реклассификации; 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(c)           причина реклассификации.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39           Если реклассифицировать сравнительные суммы практически невозможно, предприятие должно раскрыть следующую информацию:</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(a)           причина, по которой не проведена реклассификация соответствующих сумм; 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lastRenderedPageBreak/>
              <w:t>(b)           характер корректировок, которые были бы произведены в случае реклассификации соответствующих сумм.</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40            Повышение сопоставимости информации, относящейся к разным периодам, помогает пользователям принимать экономические решения, в особенности за счет обеспечения возможности оценить тенденции в финансовой информации в целях прогнозирования. При некоторых обстоятельствах практически невозможно произвести реклассификацию сравнительной информации за какой-либо предыдущий период для достижения сопоставимости с текущим периодом. Например, в предыдущем периоде (периодах) данные могли быть собраны таким образом, что это не позволяет провести реклассификацию, и по практическим соображениям изменить информацию может быть невозможно.</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41            МСФО (IAS) 8 рассматривает корректировки сравнительной информации, которые необходимо выполнять при изменении предприятием своей учетной политики или исправлении ошибки.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b/>
                <w:bCs/>
                <w:color w:val="626262"/>
                <w:sz w:val="20"/>
              </w:rPr>
              <w:t>Структура и содержание</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b/>
                <w:bCs/>
                <w:color w:val="626262"/>
                <w:sz w:val="20"/>
              </w:rPr>
              <w:t>Введение</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42            Настоящий стандарт требует раскрытия конкретной информации непосредственно в балансе, отчете о прибылях и убытках и отчете об изменениях в собственном капитале, а также требует раскрытия информации о других статьях либо непосредственно в формах финансовой отчетности, либо в примечаниях. МСФО (IAS) 7 устанавливает требования в отношении представления отчета о движении денежных средств.</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43            В настоящем стандарте термин «раскрытие информации» иногда употребляется в широком значении, охватывающем как статьи, представляемые непосредственно в балансе, отчете о прибылях и убытках, отчете об изменениях в собственном капитале и отчете о движении денежных средств, так и статьи, представляемые в примечаниях. Другие стандарты и разъяснения также содержат требования в отношении раскрытия информации. Если настоящий стандарт, какой-либо другой стандарт или какое-либо разъяснение не предусматривают иного, то раскрытие информации осуществляется либо непосредственно в балансе, отчете о прибылях и убытках, отчете об изменениях в собственном капитале или отчете о движении денежных средств (в зависимости от того, где это раскрытие является уместным), либо в примечаниях.</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b/>
                <w:bCs/>
                <w:color w:val="626262"/>
                <w:sz w:val="20"/>
              </w:rPr>
              <w:t>Обозначение финансовой отчетности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44           Финансовая отчетность должна быть четко обозначена и выделена из состава прочей информации, содержащейся в том же самом опубликованном документе.</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45            МСФО (IFRS) применяются только в отношении финансовой отчетности и не распространяют свое действие на прочую информацию, представленную в годовом отчете или другом документе. Таким образом, важно, чтобы пользователи могли отличить информацию, подготовленную в соответствии с МСФО (IFRS), от другой информации, которая может оказаться полезной для пользователей, но не подчиняется требованиям этих стандартов.</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46           Каждый компонент финансовой отчетности должен быть четко обозначен. Кроме того, должны быть четко выделены и повторяться там, где это необходимо для правильного понимания представленной информации, следующие данные:</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(a)           наименование отчитывающегося предприятия или иные способы его обозначения, а также любое изменение в этих данных с предыдущей отчетной даты;</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(b)           относится ли финансовая отчетность к отдельному предприятию или группе предприятий;</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(c)           отчетная дата или период, охватываемый финансовой отчетностью, в зависимости от того, что больше подходит для данного компонента финансовой отчетности;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lastRenderedPageBreak/>
              <w:t>(d)           валюта представления отчетности в значении, определенном в МСФО (IAS) 21</w:t>
            </w:r>
            <w:r w:rsidRPr="00771819">
              <w:rPr>
                <w:rFonts w:ascii="Times New Roman" w:eastAsia="Times New Roman" w:hAnsi="Times New Roman" w:cs="Times New Roman"/>
                <w:color w:val="626262"/>
                <w:sz w:val="20"/>
              </w:rPr>
              <w:t> </w:t>
            </w:r>
            <w:r w:rsidRPr="00771819">
              <w:rPr>
                <w:rFonts w:ascii="Times New Roman" w:eastAsia="Times New Roman" w:hAnsi="Times New Roman" w:cs="Times New Roman"/>
                <w:i/>
                <w:iCs/>
                <w:color w:val="626262"/>
                <w:sz w:val="20"/>
              </w:rPr>
              <w:t>«Влияние изменений обменных курсов валют»</w:t>
            </w:r>
            <w:r w:rsidRPr="00771819">
              <w:rPr>
                <w:rFonts w:ascii="Times New Roman" w:eastAsia="Times New Roman" w:hAnsi="Times New Roman" w:cs="Times New Roman"/>
                <w:color w:val="626262"/>
                <w:sz w:val="20"/>
                <w:szCs w:val="20"/>
              </w:rPr>
              <w:t>; 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(e)           степень округления, используемая при представлении сумм в финансовой отчетности.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47            Требования, изложенные в пункте 46, обычно выполняются путем представления постраничных заголовков и сокращенных заголовков колонок на каждой странице финансовой отчетности. Для определения наилучшего способа представления такой информации требуется профессиональное суждение. Например, если финансовая отчетность представляется в электронном виде, не всегда используется разбивка на отдельные страницы. Тогда вышеуказанные заголовки должны повторяться с частотой, достаточной для того, чтобы обеспечить правильное понимание информации, содержащейся в финансовой отчетности.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48            Финансовая отчетность часто становится более понятной при представлении информации в тысячах или миллионах единиц валюты представления отчетности. Это допустимо в том случае, если раскрывается используемая степень округления при представлении информации и не упускается существенная информация.</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b/>
                <w:bCs/>
                <w:color w:val="626262"/>
                <w:sz w:val="20"/>
              </w:rPr>
              <w:t>Отчетный период</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49           Представление финансовой отчетности должно производиться не реже одного раза в год. В случаях, когда отчетная дата предприятия меняется и годовая финансовая отчетность представляется за период продолжительней или короче, чем один год, помимо периода, охватываемого финансовой отчетностью, предприятие должно раскрыть следующую информацию:</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(a)           причина использования более длинного или короткого периода; 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(b)           тот факт, что сравнительные суммы в отчете о прибылях и убытках, отчете об изменениях в собственном капитале, отчете о движении денежных средств и соответствующих примечаниях не вполне сопоставимы.</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50            Как правило, финансовая отчетность всегда подготавливается за период, составляющий один год. Тем не менее, по практическим соображениям некоторые предприятия предпочитают отчитываться за период, составляющий, например, 52 недели. Настоящий стандарт допускает подобную практику, поскольку маловероятно, что составленная таким образом финансовая отчетность будет существенно отличаться от финансовой отчетности, представленной за период, составляющий один год.</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b/>
                <w:bCs/>
                <w:color w:val="626262"/>
                <w:sz w:val="20"/>
              </w:rPr>
              <w:t>Баланс</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b/>
                <w:bCs/>
                <w:color w:val="626262"/>
                <w:sz w:val="20"/>
              </w:rPr>
              <w:t>Разделение активов и обязательств на краткосрочные и долгосрочные</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51           Предприятие должно представлять непосредственно в своем балансе краткосрочные и долгосрочные активы, а также краткосрочные и долгосрочные обязательства в качестве отдельных разделов в соответствии с пунктами 57-67, за исключением случаев, когда представление информации, основанное на степени ликвидности, обеспечивает надежную и более уместную информацию. Если применяется указанное исключение, все активы и обязательства должны представляться без разделения на классы в порядке своей ликвидности.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52           Вне зависимости от выбранного способа представления, применительно к каждой статье активов и обязательств, объединяющей суммы, возмещение или погашение которых ожидается (a) в течение не более чем двенадцати месяцев после отчетной даты и (b) по истечении более чем двенадцати месяцев после отчетной даты, предприятие должно раскрыть сумму, возмещение или погашение которой ожидается по истечении более чем двенадцати месяцев после отчетной даты.</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xml:space="preserve">53            Если предприятие осуществляет поставку товаров или услуг в рамках четко определяемого операционного цикла, разделение активов и обязательств непосредственно в балансе на краткосрочные и </w:t>
            </w:r>
            <w:r w:rsidRPr="00771819">
              <w:rPr>
                <w:rFonts w:ascii="Times New Roman" w:eastAsia="Times New Roman" w:hAnsi="Times New Roman" w:cs="Times New Roman"/>
                <w:color w:val="626262"/>
                <w:sz w:val="20"/>
                <w:szCs w:val="20"/>
              </w:rPr>
              <w:lastRenderedPageBreak/>
              <w:t>долгосрочные обеспечивает полезную информацию, так как позволяет отделить чистые активы, постоянно циркулирующие в составе оборотного капитала, от активов, используемых в долгосрочных операциях предприятия. Это также позволяет выделить активы, которые предприятие предполагает реализовать в течение текущего операционного цикла, и обязательства, подлежащие погашению в течение того же периода.</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54            Для некоторых предприятий, таких, как финансовые институты, представление активов и обязательств в порядке возрастания или убывания ликвидности обеспечивает надежную и более уместную информацию, нежели та, которая может быть получена при разделении активов и обязательств на краткосрочные и долгосрочные, поскольку предприятие не осуществляет поставку товаров или услуг в рамках четко определяемого операционного цикла.</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55            При применении пункта 51 предприятию разрешается представлять часть своих активов и обязательств с разделением на краткосрочные и долгосрочные, а других - в порядке ликвидности, если это обеспечивает надежную и более уместную информацию. Необходимость в использовании смешанной основы представления может возникнуть в тех случаях, когда предприятие осуществляет различные неоднородные виды деятельности.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56            Информация о предполагаемых сроках реализации активов и обязательств полезна при оценке ликвидности и платежеспособности предприятия. МСФО (IFRS) 7</w:t>
            </w:r>
            <w:r w:rsidRPr="00771819">
              <w:rPr>
                <w:rFonts w:ascii="Times New Roman" w:eastAsia="Times New Roman" w:hAnsi="Times New Roman" w:cs="Times New Roman"/>
                <w:color w:val="626262"/>
                <w:sz w:val="20"/>
              </w:rPr>
              <w:t> </w:t>
            </w:r>
            <w:r w:rsidRPr="00771819">
              <w:rPr>
                <w:rFonts w:ascii="Times New Roman" w:eastAsia="Times New Roman" w:hAnsi="Times New Roman" w:cs="Times New Roman"/>
                <w:i/>
                <w:iCs/>
                <w:color w:val="626262"/>
                <w:sz w:val="20"/>
              </w:rPr>
              <w:t>«Финансовые инструменты: раскрытие информации»</w:t>
            </w:r>
            <w:r w:rsidRPr="00771819">
              <w:rPr>
                <w:rFonts w:ascii="Times New Roman" w:eastAsia="Times New Roman" w:hAnsi="Times New Roman" w:cs="Times New Roman"/>
                <w:color w:val="626262"/>
                <w:sz w:val="20"/>
              </w:rPr>
              <w:t> </w:t>
            </w:r>
            <w:r w:rsidRPr="00771819">
              <w:rPr>
                <w:rFonts w:ascii="Times New Roman" w:eastAsia="Times New Roman" w:hAnsi="Times New Roman" w:cs="Times New Roman"/>
                <w:color w:val="626262"/>
                <w:sz w:val="20"/>
                <w:szCs w:val="20"/>
              </w:rPr>
              <w:t>требует раскрытия информации о сроках погашения финансовых активов и финансовых обязательств. Финансовые активы включают торговую и прочую дебиторскую задолженность, а финансовые обязательства включают торговую и прочую кредиторскую задолженность. Информация о предполагаемых сроках возмещения и погашения немонетарных активов и обязательств, таких, как запасы и резервы, также полезна вне зависимости от того, осуществляется ли разделение активов и обязательств на краткосрочные и долгосрочные или же нет. Например, предприятие раскрывает информацию о сумме запасов, которые оно предполагает возместить по истечении более чем двенадцати месяцев после отчетной даты.</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b/>
                <w:bCs/>
                <w:color w:val="626262"/>
                <w:sz w:val="20"/>
              </w:rPr>
              <w:t>Краткосрочные активы</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57           Актив классифицируется как краткосрочный, если он удовлетворяет любому из перечисленных ниже критериев:</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(a)           его предполагается реализовать или он предназначен для продажи или потребления в рамках обычного операционного цикла предприятия;</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(b)           оно предназначено в основном для целей торговли;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(c)           его предполагается реализовать в течение двенадцати месяцев после отчетной даты; или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(d)           он представляет собой денежные средства или актив, эквивалентный денежным средствам (в значении, определенном в МСФО (IAS) 7</w:t>
            </w:r>
            <w:r w:rsidRPr="00771819">
              <w:rPr>
                <w:rFonts w:ascii="Times New Roman" w:eastAsia="Times New Roman" w:hAnsi="Times New Roman" w:cs="Times New Roman"/>
                <w:color w:val="626262"/>
                <w:sz w:val="20"/>
              </w:rPr>
              <w:t> </w:t>
            </w:r>
            <w:r w:rsidRPr="00771819">
              <w:rPr>
                <w:rFonts w:ascii="Times New Roman" w:eastAsia="Times New Roman" w:hAnsi="Times New Roman" w:cs="Times New Roman"/>
                <w:i/>
                <w:iCs/>
                <w:color w:val="626262"/>
                <w:sz w:val="20"/>
              </w:rPr>
              <w:t>«Отчеты о движении денежных средств»</w:t>
            </w:r>
            <w:r w:rsidRPr="00771819">
              <w:rPr>
                <w:rFonts w:ascii="Times New Roman" w:eastAsia="Times New Roman" w:hAnsi="Times New Roman" w:cs="Times New Roman"/>
                <w:color w:val="626262"/>
                <w:sz w:val="20"/>
                <w:szCs w:val="20"/>
              </w:rPr>
              <w:t>), если только не существует ограничения на его обмен или использование для погашения обязательств в течение как минимум двенадцати месяцев после отчетной даты.</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Все прочие активы должны классифицироваться как долгосрочные.</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58            В настоящем стандарте термин «долгосрочные» используется в отношении материальных, нематериальных и финансовых активов долгосрочного характера. Стандарт не запрещает использовать альтернативные обозначения при условии, что их смысл понятен.</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xml:space="preserve">59            Операционный цикл предприятия представляет собой период времени с момента приобретения активов для обработки и до момента их обмена на денежные средства или эквиваленты денежных средств. Если невозможно четко определить обычный операционный цикл предприятия, делается допущение, что его продолжительность составляет двенадцать месяцев. Краткосрочные активы включают активы (такие, как запасы и дебиторская задолженность), которые продаются, потребляются или реализуются в рамках обычного операционного цикла, даже если не предполагается их реализовать в течение двенадцати месяцев </w:t>
            </w:r>
            <w:r w:rsidRPr="00771819">
              <w:rPr>
                <w:rFonts w:ascii="Times New Roman" w:eastAsia="Times New Roman" w:hAnsi="Times New Roman" w:cs="Times New Roman"/>
                <w:color w:val="626262"/>
                <w:sz w:val="20"/>
                <w:szCs w:val="20"/>
              </w:rPr>
              <w:lastRenderedPageBreak/>
              <w:t>после отчетной даты. Краткосрочные активы также включают активы, предназначенные в основном для целей торговли (относящиеся к этой категории финансовые активы классифицируются как предназначенные для торговли в соответствии с МСФО (IAS) 39</w:t>
            </w:r>
            <w:r w:rsidRPr="00771819">
              <w:rPr>
                <w:rFonts w:ascii="Times New Roman" w:eastAsia="Times New Roman" w:hAnsi="Times New Roman" w:cs="Times New Roman"/>
                <w:color w:val="626262"/>
                <w:sz w:val="20"/>
              </w:rPr>
              <w:t> </w:t>
            </w:r>
            <w:r w:rsidRPr="00771819">
              <w:rPr>
                <w:rFonts w:ascii="Times New Roman" w:eastAsia="Times New Roman" w:hAnsi="Times New Roman" w:cs="Times New Roman"/>
                <w:i/>
                <w:iCs/>
                <w:color w:val="626262"/>
                <w:sz w:val="20"/>
              </w:rPr>
              <w:t>«Финансовые инструменты: признание и измерение»</w:t>
            </w:r>
            <w:r w:rsidRPr="00771819">
              <w:rPr>
                <w:rFonts w:ascii="Times New Roman" w:eastAsia="Times New Roman" w:hAnsi="Times New Roman" w:cs="Times New Roman"/>
                <w:color w:val="626262"/>
                <w:sz w:val="20"/>
                <w:szCs w:val="20"/>
              </w:rPr>
              <w:t>), и краткосрочную составляющую долгосрочных финансовых активов.</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b/>
                <w:bCs/>
                <w:color w:val="626262"/>
                <w:sz w:val="20"/>
              </w:rPr>
              <w:t>Краткосрочные обязательства</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60           Обязательство классифицируется как краткосрочное, если оно удовлетворяет любому из перечисленных ниже критериев:</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(a)           его предполагается погасить в рамках обычного операционного цикла предприятия;</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(b)           оно предназначено в основном для целей торговли;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(c)           оно подлежит погашению в течение двенадцати месяцев после отчетной даты; или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(d)           у предприятия нет безусловного права откладывать погашение обязательства в течение как минимум двенадцати месяцев после отчетной даты.</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Все прочие обязательства должны классифицироваться как долгосрочные.</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61            Некоторые краткосрочные обязательства, такие, как торговая кредиторская задолженность и некоторые начисления затрат по оплате труда и прочих операционных затрат, составляют часть оборотного капитала, используемого в течение обычного операционного цикла предприятия. Такие операционные статьи классифицируются как краткосрочные обязательства, даже если они подлежат погашению не ранее чем через двенадцать месяцев после отчетной даты. При классификации активов и обязательств предприятия используется один и тот же обычный операционный цикл. Если невозможно четко определить обычный операционный цикл предприятия, делается допущение, что его продолжительность составляет двенадцать месяцев.</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62            Другие краткосрочные обязательства не погашаются в рамках обычного операционного цикла, однако подлежат погашению в течение двенадцати месяцев после отчетной даты или предназначены в основном для целей торговли. Примерами служат финансовые обязательства, классифицированные как предназначенные для торговли в соответствии с МСФО (IAS) 39, банковские овердрафты, а также краткосрочная составляющая долгосрочных финансовых обязательств, дивиденды к выплате, налоги на прибыль и прочая неторговая кредиторская задолженность. Финансовые обязательства, обеспечивающие долгосрочное финансирование (т.е. не составляющие часть оборотного капитала, используемого в течение обычного операционного цикла предприятия) и не подлежащие погашению в течение двенадцати месяцев после отчетной даты, представляют собой долгосрочные обязательства, и к ним применяются пункты 65 и 66.</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63            Предприятие классифицирует свои финансовые обязательства как краткосрочные, если они подлежат погашению в течение двенадцати месяцев после отчетной даты, даже если: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(a)           первоначальный срок погашения составлял более двенадцати месяцев; 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(b)           после отчетной даты и до утверждения финансовой отчетности заключено соглашение о рефинансировании или изменении графика платежей на долгосрочной основе.</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64            Если предприятие предполагает и имеет возможность по своему усмотрению рефинансировать или продлить какое-либо обязательство на срок, составляющий не менее двенадцати месяцев после отчетной даты, в рамках существующей кредитной линии, оно классифицирует это обязательство как долгосрочное, даже если в противном случае это обязательство подлежало бы погашению в более короткий срок. Тем не менее, если предприятие не может по своему усмотрению рефинансировать или продлевать обязательство (например, при отсутствии соглашения о рефинансировании), потенциальная возможность рефинансирования не принимается во внимание и обязательство классифицируется как краткосрочное.</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xml:space="preserve">65            Если предприятие нарушает какое-либо из условий долгосрочного кредитного соглашения по </w:t>
            </w:r>
            <w:r w:rsidRPr="00771819">
              <w:rPr>
                <w:rFonts w:ascii="Times New Roman" w:eastAsia="Times New Roman" w:hAnsi="Times New Roman" w:cs="Times New Roman"/>
                <w:color w:val="626262"/>
                <w:sz w:val="20"/>
                <w:szCs w:val="20"/>
              </w:rPr>
              <w:lastRenderedPageBreak/>
              <w:t>состоянию на отчетную дату или на более раннюю дату, в результате чего обязательство подлежит погашению по требованию, то это обязательство классифицируется как краткосрочное, даже если кредитор согласился, после отчетной даты и до утверждения финансовой отчетности, не требовать платежа на основании допущенного нарушения. Обязательство классифицируется как краткосрочное, поскольку на отчетную дату у предприятия не было безусловного права откладывать его погашение на срок, составляющий не менее двенадцати месяцев после отчетной даты.</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66            Тем не менее, обязательство классифицируется как долгосрочное, если кредитор по состоянию на отчетную дату согласился предоставить период отсрочки, заканчивающийся не ранее чем через двенадцать месяцев после отчетной даты, в течение которого предприятие может исправить нарушение и во время которого кредитор не может требовать немедленного погашения.</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67            Применительно к займам, классифицированным как краткосрочные обязательства, если в период между отчетной датой и датой утверждения финансовой отчетности происходят указанные ниже события, эти события подлежат раскрытию как некорректирующие события в соответствии с МСФО (IAS) 10</w:t>
            </w:r>
            <w:r w:rsidRPr="00771819">
              <w:rPr>
                <w:rFonts w:ascii="Times New Roman" w:eastAsia="Times New Roman" w:hAnsi="Times New Roman" w:cs="Times New Roman"/>
                <w:i/>
                <w:iCs/>
                <w:color w:val="626262"/>
                <w:sz w:val="20"/>
              </w:rPr>
              <w:t>«События после отчетной даты»</w:t>
            </w:r>
            <w:r w:rsidRPr="00771819">
              <w:rPr>
                <w:rFonts w:ascii="Times New Roman" w:eastAsia="Times New Roman" w:hAnsi="Times New Roman" w:cs="Times New Roman"/>
                <w:color w:val="626262"/>
                <w:sz w:val="20"/>
                <w:szCs w:val="20"/>
              </w:rPr>
              <w:t>:</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(a)           рефинансирование на долгосрочной основе;</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(b)           исправление нарушения долгосрочного кредитного соглашения; 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(c)           предоставление кредитором периода отсрочки для исправления нарушения долгосрочного кредитного соглашения, заканчивающегося не ранее чем через двенадцать месяцев после отчетной даты.</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b/>
                <w:bCs/>
                <w:color w:val="626262"/>
                <w:sz w:val="20"/>
              </w:rPr>
              <w:t>Информация, подлежащая представлению непосредственно в балансе</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68           Баланс должен включать как минимум статьи, представляющие следующие суммы в той мере, в которой они не представлены в соответствии с пунктом 68A:</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(a)           основные средства;</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(b)           инвестиционное имущество;</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(c)           нематериальные активы;</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(d)           финансовые активы (за исключением сумм, указанных в подпунктах (e), (h) и (i));</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(e)           инвестиции, учитываемые по методу долевого участия;</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(f)            биологические активы;</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(g)           запасы;</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(h)           торговая и прочая дебиторская задолженность;</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(i)            денежные средства и эквиваленты денежных средств;</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(j)            торговая и прочая кредиторская задолженность;</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(k)           оценочные резервы;</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(l)            финансовые обязательства (за исключением сумм, указанных в подпунктах (j) и (k));</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(m)          обязательства и активы по текущему налогу в значении, определенном в МСФО (IAS) 12</w:t>
            </w:r>
            <w:r w:rsidRPr="00771819">
              <w:rPr>
                <w:rFonts w:ascii="Times New Roman" w:eastAsia="Times New Roman" w:hAnsi="Times New Roman" w:cs="Times New Roman"/>
                <w:color w:val="626262"/>
                <w:sz w:val="20"/>
              </w:rPr>
              <w:t> </w:t>
            </w:r>
            <w:r w:rsidRPr="00771819">
              <w:rPr>
                <w:rFonts w:ascii="Times New Roman" w:eastAsia="Times New Roman" w:hAnsi="Times New Roman" w:cs="Times New Roman"/>
                <w:i/>
                <w:iCs/>
                <w:color w:val="626262"/>
                <w:sz w:val="20"/>
              </w:rPr>
              <w:t>«Налоги на прибыль»</w:t>
            </w:r>
            <w:r w:rsidRPr="00771819">
              <w:rPr>
                <w:rFonts w:ascii="Times New Roman" w:eastAsia="Times New Roman" w:hAnsi="Times New Roman" w:cs="Times New Roman"/>
                <w:color w:val="626262"/>
                <w:sz w:val="20"/>
                <w:szCs w:val="20"/>
              </w:rPr>
              <w:t>;</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lastRenderedPageBreak/>
              <w:t>(n)           отложенные налоговые обязательства и отложенные налоговые активы в значении, определенном в МСФО (IAS) 12;</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(o)           доля меньшинства, представленная в составе собственного капитала; 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(p)           выпущенный капитал и капитальные резервы, относящиеся к владельцам собственного капитала материнского предприятия.</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68A        Баланс также должен включать статьи, представляющие следующие суммы:</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(a)           совокупная сумма активов, классифицированных как предназначенные для продажи, и активов, включенных в выбывающие группы, классифицированные как предназначенные для продажи в соответствии с МСФО (IFRS) 5</w:t>
            </w:r>
            <w:r w:rsidRPr="00771819">
              <w:rPr>
                <w:rFonts w:ascii="Times New Roman" w:eastAsia="Times New Roman" w:hAnsi="Times New Roman" w:cs="Times New Roman"/>
                <w:color w:val="626262"/>
                <w:sz w:val="20"/>
              </w:rPr>
              <w:t> </w:t>
            </w:r>
            <w:r w:rsidRPr="00771819">
              <w:rPr>
                <w:rFonts w:ascii="Times New Roman" w:eastAsia="Times New Roman" w:hAnsi="Times New Roman" w:cs="Times New Roman"/>
                <w:i/>
                <w:iCs/>
                <w:color w:val="626262"/>
                <w:sz w:val="20"/>
              </w:rPr>
              <w:t>«Долгосрочные активы, предназначенные для продажи, и прекращенная деятельность»</w:t>
            </w:r>
            <w:r w:rsidRPr="00771819">
              <w:rPr>
                <w:rFonts w:ascii="Times New Roman" w:eastAsia="Times New Roman" w:hAnsi="Times New Roman" w:cs="Times New Roman"/>
                <w:color w:val="626262"/>
                <w:sz w:val="20"/>
                <w:szCs w:val="20"/>
              </w:rPr>
              <w:t>; 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(b)           обязательства, включенные в выбывающие группы, классифицированные как предназначенные для продажи в соответствии с МСФО (IFRS) 5.</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69           Дополнительные статьи, заголовки и промежуточные итоги должны быть представлены непосредственно в балансе, когда такое представление уместно для понимания финансового положения предприятия.</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70           Если предприятие представляет непосредственно в балансе краткосрочные и долгосрочные активы, а также краткосрочные и долгосрочные обязательства в качестве отдельных разделов, оно не должно классифицировать отложенные налоговые активы (обязательства) как краткосрочные активы (обязательства).</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71            Настоящий стандарт не регламентирует порядок или формат, в котором должны представляться статьи. В пункте 68 лишь указан перечень статей, отличающихся друг от друга по характеру или функции в степени, достаточной для того, чтобы они подлежали отдельному представлению непосредственно в балансе. Кроме того:</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(a)           статьи включаются в баланс, если сам размер, характер или функция соответствующей статьи или агрегирование аналогичных статей таковы, что отдельное представление является уместным для понимания финансового положения предприятия; 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(b)           используемые наименования и порядок представления статей или агрегирование аналогичных статей могут быть скорректированы с учетом характера предприятия и осуществляемой им деятельности для обеспечения представления такой информации, которая будет уместной для понимания финансового положения предприятия. Например, финансовый институт может изменить перечисленные выше наименования, чтобы обеспечить информацию, уместную для описания деятельности финансового института.</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72            Профессиональное суждение о том, следует ли представлять отдельно дополнительные статьи, основывается на оценке следующих факторов:</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(a)           характер и ликвидность активов;</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(b)           функция активов в рамках предприятия; 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(c)           суммы, характер и сроки погашения обязательств.</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73            Использование различных баз измерения в отношении различных видов активов заставляет предположить, что они отличаются по своему характеру и функции и, следовательно, подлежат представлению в качестве отдельных статей. Например, различные виды основных средств могут учитываться по себестоимости или переоцененной стоимости в соответствии с МСФО (IAS) 16</w:t>
            </w:r>
            <w:r w:rsidRPr="00771819">
              <w:rPr>
                <w:rFonts w:ascii="Times New Roman" w:eastAsia="Times New Roman" w:hAnsi="Times New Roman" w:cs="Times New Roman"/>
                <w:color w:val="626262"/>
                <w:sz w:val="20"/>
              </w:rPr>
              <w:t> </w:t>
            </w:r>
            <w:r w:rsidRPr="00771819">
              <w:rPr>
                <w:rFonts w:ascii="Times New Roman" w:eastAsia="Times New Roman" w:hAnsi="Times New Roman" w:cs="Times New Roman"/>
                <w:i/>
                <w:iCs/>
                <w:color w:val="626262"/>
                <w:sz w:val="20"/>
              </w:rPr>
              <w:t>«Основные средства»</w:t>
            </w:r>
            <w:r w:rsidRPr="00771819">
              <w:rPr>
                <w:rFonts w:ascii="Times New Roman" w:eastAsia="Times New Roman" w:hAnsi="Times New Roman" w:cs="Times New Roman"/>
                <w:color w:val="626262"/>
                <w:sz w:val="20"/>
                <w:szCs w:val="20"/>
              </w:rPr>
              <w:t>.</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lastRenderedPageBreak/>
              <w:t> </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b/>
                <w:bCs/>
                <w:color w:val="626262"/>
                <w:sz w:val="20"/>
              </w:rPr>
              <w:t>Информация, подлежащая представлению либо непосредственно в балансе, либо в примечаниях</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74           Предприятие должно раскрыть непосредственно в балансе или в примечаниях более подробную разбивку представленных статей с использованием классификации, которая подходит для деятельности предприятия.</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75            Степень детализации при представлении разбивки статьи зависит от требований МСФО (IFRS), а также от размера, характера и функции соответствующих сумм. Факторы, изложенные в пункте 72, также используются для определения основы разбивки статей. По каждой статье предусмотрено разное раскрытие информации, например:</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(a)           статьи основных средств детализируются по видам в соответствии с МСФО (IAS) 16;</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(b)           дебиторская задолженность детализируется с выделением задолженности покупателей и заказчиков, задолженности связанных сторон, сумм предоплаты и прочих сумм;</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(c)           запасы разбиваются в соответствии с МСФО (IAS) 2</w:t>
            </w:r>
            <w:r w:rsidRPr="00771819">
              <w:rPr>
                <w:rFonts w:ascii="Times New Roman" w:eastAsia="Times New Roman" w:hAnsi="Times New Roman" w:cs="Times New Roman"/>
                <w:color w:val="626262"/>
                <w:sz w:val="20"/>
              </w:rPr>
              <w:t> </w:t>
            </w:r>
            <w:r w:rsidRPr="00771819">
              <w:rPr>
                <w:rFonts w:ascii="Times New Roman" w:eastAsia="Times New Roman" w:hAnsi="Times New Roman" w:cs="Times New Roman"/>
                <w:i/>
                <w:iCs/>
                <w:color w:val="626262"/>
                <w:sz w:val="20"/>
              </w:rPr>
              <w:t>«Запасы»</w:t>
            </w:r>
            <w:r w:rsidRPr="00771819">
              <w:rPr>
                <w:rFonts w:ascii="Times New Roman" w:eastAsia="Times New Roman" w:hAnsi="Times New Roman" w:cs="Times New Roman"/>
                <w:color w:val="626262"/>
                <w:sz w:val="20"/>
              </w:rPr>
              <w:t> </w:t>
            </w:r>
            <w:r w:rsidRPr="00771819">
              <w:rPr>
                <w:rFonts w:ascii="Times New Roman" w:eastAsia="Times New Roman" w:hAnsi="Times New Roman" w:cs="Times New Roman"/>
                <w:color w:val="626262"/>
                <w:sz w:val="20"/>
                <w:szCs w:val="20"/>
              </w:rPr>
              <w:t>на такие виды, как товары, производственные запасы, материалы, незавершенное производство и готовая продукция;</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(d)           оценочные резервы разбиваются на оценочные резервы по затратам на вознаграждения работникам и прочие статьи; 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(e)           собственный капитал и капитальные резервы детализируются по таким различным категориям, как оплаченный капитал, эмиссионный доход и капитальные резервы.</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76           Предприятие должно раскрыть либо непосредственно в балансе, либо в примечаниях следующую информацию:</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(a)           применительно к каждому классу акционерного капитала:</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(i)            количество акций, разрешенных к выпуску;</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(ii)           количество выпущенных и полностью оплаченных акций, а также количество акций, выпущенных, но не оплаченных полностью;</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(iii)         номинальная стоимость акции или указание на то, что акции не имеют номинальной стоимости;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(iv)          сверка количества акций в обращении на начало и на конец периода;</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(v)            права, привилегии и ограничения по данному классу, включая ограничения по распределению дивидендов и возврату капитала;</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i/>
                <w:iCs/>
                <w:color w:val="626262"/>
                <w:sz w:val="20"/>
              </w:rPr>
              <w:t>(vi)</w:t>
            </w:r>
            <w:r w:rsidRPr="00771819">
              <w:rPr>
                <w:rFonts w:ascii="Times New Roman" w:eastAsia="Times New Roman" w:hAnsi="Times New Roman" w:cs="Times New Roman"/>
                <w:color w:val="626262"/>
                <w:sz w:val="20"/>
              </w:rPr>
              <w:t> </w:t>
            </w:r>
            <w:r w:rsidRPr="00771819">
              <w:rPr>
                <w:rFonts w:ascii="Times New Roman" w:eastAsia="Times New Roman" w:hAnsi="Times New Roman" w:cs="Times New Roman"/>
                <w:color w:val="626262"/>
                <w:sz w:val="20"/>
                <w:szCs w:val="20"/>
              </w:rPr>
              <w:t>акции предприятия, принадлежащие самому предприятию или его дочерним или ассоциированным предприятиям; 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(vii)         акции, зарезервированные для выпуска по опционам и договорам продажи акций, включая условия и суммы; 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(b)           описание характера и назначения каждого капитального резерва в составе собственного капитала.</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77           Предприятие без акционерного капитала, например, партнерство или траст, должно раскрывать информацию, эквивалентную той, которая требуется согласно пункту 76(a), с указанием изменений по каждой категории долей в собственном капитале, произошедших за соответствующий период, а также прав, привилегий и ограничений по каждой категории долей в собственном капитале.</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lastRenderedPageBreak/>
              <w:t> </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b/>
                <w:bCs/>
                <w:color w:val="626262"/>
                <w:sz w:val="20"/>
              </w:rPr>
              <w:t>Отчет о прибылях и убытках</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b/>
                <w:bCs/>
                <w:color w:val="626262"/>
                <w:sz w:val="20"/>
              </w:rPr>
              <w:t>Прибыль или убыток за период</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78           Все статьи доходов и расходов, признанные в течение периода, подлежат включению в состав прибыли или убытка, если какой-либо стандарт или какое-либо разъяснение не требует иного.</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79            Обычно все статьи доходов и расходов, признанные в течение периода, включаются в состав прибыли или убытка. Сюда относятся и влияние изменений в расчетных бухгалтерских оценках. Однако при определенных обстоятельствах конкретные статьи могут исключаться из состава прибыли или убытка за текущий период. МСФО (IAS) 8 рассматривает два вида таких обстоятельств: исправление ошибок и влияние изменений в учетной политике.</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80            В других стандартах рассматриваются статьи, которые могут соответствовать определению дохода или расхода, приведенному в</w:t>
            </w:r>
            <w:r w:rsidRPr="00771819">
              <w:rPr>
                <w:rFonts w:ascii="Times New Roman" w:eastAsia="Times New Roman" w:hAnsi="Times New Roman" w:cs="Times New Roman"/>
                <w:color w:val="626262"/>
                <w:sz w:val="20"/>
              </w:rPr>
              <w:t> </w:t>
            </w:r>
            <w:r w:rsidRPr="00771819">
              <w:rPr>
                <w:rFonts w:ascii="Times New Roman" w:eastAsia="Times New Roman" w:hAnsi="Times New Roman" w:cs="Times New Roman"/>
                <w:i/>
                <w:iCs/>
                <w:color w:val="626262"/>
                <w:sz w:val="20"/>
              </w:rPr>
              <w:t>«Концепции»</w:t>
            </w:r>
            <w:r w:rsidRPr="00771819">
              <w:rPr>
                <w:rFonts w:ascii="Times New Roman" w:eastAsia="Times New Roman" w:hAnsi="Times New Roman" w:cs="Times New Roman"/>
                <w:color w:val="626262"/>
                <w:sz w:val="20"/>
                <w:szCs w:val="20"/>
              </w:rPr>
              <w:t>, однако обычно исключаются из состава прибыли или убытка. Примерами служат прирост стоимости от переоценки (см. МСФО (IAS) 16), отдельные прибыли и убытки, возникающие при пересчете финансовой отчетности иностранных подразделений (см. МСФО (IAS) 21), а также прибыли и убытки от переоценки финансовых активов, имеющихся в наличии для продажи (см. МСФО (IAS) 39).</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b/>
                <w:bCs/>
                <w:color w:val="626262"/>
                <w:sz w:val="20"/>
              </w:rPr>
              <w:t>Информация, подлежащая представлению непосредственно в отчете о прибылях и убытках</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81           Отчет о прибылях и убытках должен включать как минимум такие статьи, которые представляют следующие суммы за период:</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(a)           выручка;</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(b)           затраты по финансированию;</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(c)           доля предприятия в прибыли или убытке ассоциированных предприятий и совместной деятельности, учитываемых по методу долевого участия;</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(d)           расходы по налогам;</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(e)           отдельная сумма, которая складывается из (i) прибыли или убытка после налогов от прекращенной деятельности и (ii) прибыли или убытка, признанных в результате измерения по справедливой стоимости за вычетом расходов на продажу или в результате выбытия активов или выбывающей группы (групп), составляющих прекращенную деятельность; 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(f)            прибыль или убыток.</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82           В отчете о прибылях и убытках должны раскрываться в качестве распределения прибыли или убытка за период следующие статьи: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(a)           прибыль или убыток, относящиеся к доле меньшинства; 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(b)           прибыль или убыток, относящиеся к владельцам собственного капитала материнского предприятия.</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83           Дополнительные статьи, заголовки и промежуточные итоги должны быть представлены непосредственно в отчете о прибылях и убытках, когда такое представление уместно для понимания финансовых результатов предприятия.</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xml:space="preserve">84            Поскольку воздействия различных видов деятельности предприятия, его операций и других событий различаются с точки зрения периодичности, потенциала получения прибыли или убытка и </w:t>
            </w:r>
            <w:r w:rsidRPr="00771819">
              <w:rPr>
                <w:rFonts w:ascii="Times New Roman" w:eastAsia="Times New Roman" w:hAnsi="Times New Roman" w:cs="Times New Roman"/>
                <w:color w:val="626262"/>
                <w:sz w:val="20"/>
                <w:szCs w:val="20"/>
              </w:rPr>
              <w:lastRenderedPageBreak/>
              <w:t>прогнозируемости, раскрытие информации о компонентах финансовых результатов помогает понять полученные финансовые результаты и прогнозировать будущие результаты. В отчет о прибылях и убытках включаются дополнительные статьи, а используемые наименования и порядок представления статей корректируются, если это необходимо для пояснения элементов финансовых результатов. Факторы, которые необходимо принять во внимание, включают существенность, а также характер и функцию компонентов доходов и расходов. Например, финансовый институт может изменить наименования статей, чтобы обеспечить предоставление информации, уместной для описания деятельности финансового института. Представление статей доходов и расходов взаимозачетом (свернуто) допускается только при соответствии критериям, изложенным в пункте 32.</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85           Предприятие не должно представлять какие-либо статьи доходов и расходов непосредственно в отчете о прибылях и убытках или в примечаниях в качестве чрезвычайных статей.</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b/>
                <w:bCs/>
                <w:color w:val="626262"/>
                <w:sz w:val="20"/>
              </w:rPr>
              <w:t>Информация, подлежащая представлению либо непосредственно в отчете о прибылях и убытках, либо в примечаниях</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86           Если статьи доходов и расходов являются существенными, их характер и сумма должны раскрываться отдельно.</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87            Обстоятельства, при которых статьи доходов и расходов подлежат отдельному раскрытию, включают следующие:</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(a)           уценка запасов до величины чистой цены продажи или стоимости основных средств до возмещаемой стоимости, а также реверсирование таких списаний;</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(b)           реструктуризация деятельности предприятия и реверсирование любых оценочных резервов по затратам на реструктуризацию;</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(c)           выбытие объектов основных средств;</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(d)           выбытие инвестиций;</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(e)           прекращенная деятельность;</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(f)            урегулирование судебных споров; 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(g)           прочие реверсивные записи в отношении оценочных резервов.</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88           Предприятие должно представить анализ расходов с использованием классификации, основанной либо на характере затрат, либо на их функции в рамках предприятия в зависимости от того, какой из подходов обеспечивает надежную и более уместную информацию.</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89            Представление предприятиями анализа, упомянутого в пункте 88, непосредственно в отчете о прибылях и убытках приветствуется.</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90            Разбивка статей расходов используется для выделения компонентов финансовых результатов, которые могут различаться с точки зрения периодичности, потенциала получения прибыли или убытка и прогнозируемости. Представление указанного анализа производится с использованием одной из двух форм.</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91            Первой формой анализа является метод «по характеру затрат». Объединение расходов в отчете о прибылях и убытках производится в соответствии с их характером (например, амортизация основных средств, закупки материалов, транспортные расходы, вознаграждения работникам и затраты на рекламу) без перераспределения в соответствии с их функцией в рамках предприятия. Этот метод прост в применении, поскольку нет необходимости перераспределять расходы на основе их функциональной классификации. Пример классификации на основе метода «по характеру затрат» выглядит следующим образом:</w:t>
            </w:r>
          </w:p>
          <w:tbl>
            <w:tblPr>
              <w:tblW w:w="0" w:type="auto"/>
              <w:tblCellSpacing w:w="0" w:type="dxa"/>
              <w:tblCellMar>
                <w:left w:w="0" w:type="dxa"/>
                <w:right w:w="0" w:type="dxa"/>
              </w:tblCellMar>
              <w:tblLook w:val="04A0"/>
            </w:tblPr>
            <w:tblGrid>
              <w:gridCol w:w="6480"/>
              <w:gridCol w:w="865"/>
              <w:gridCol w:w="432"/>
              <w:gridCol w:w="865"/>
              <w:gridCol w:w="6"/>
            </w:tblGrid>
            <w:tr w:rsidR="00771819" w:rsidRPr="00771819" w:rsidTr="00771819">
              <w:trPr>
                <w:trHeight w:val="345"/>
                <w:tblCellSpacing w:w="0" w:type="dxa"/>
              </w:trPr>
              <w:tc>
                <w:tcPr>
                  <w:tcW w:w="6480" w:type="dxa"/>
                  <w:hideMark/>
                </w:tcPr>
                <w:p w:rsidR="00771819" w:rsidRPr="00771819" w:rsidRDefault="00771819" w:rsidP="00771819">
                  <w:pPr>
                    <w:spacing w:before="100" w:beforeAutospacing="1" w:after="100" w:afterAutospacing="1" w:line="240" w:lineRule="auto"/>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Выручка</w:t>
                  </w:r>
                </w:p>
              </w:tc>
              <w:tc>
                <w:tcPr>
                  <w:tcW w:w="500" w:type="pct"/>
                  <w:vAlign w:val="bottom"/>
                  <w:hideMark/>
                </w:tcPr>
                <w:p w:rsidR="00771819" w:rsidRPr="00771819" w:rsidRDefault="00771819" w:rsidP="00771819">
                  <w:pPr>
                    <w:spacing w:before="100" w:beforeAutospacing="1" w:after="100" w:afterAutospacing="1" w:line="240" w:lineRule="auto"/>
                    <w:jc w:val="right"/>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w:t>
                  </w:r>
                </w:p>
              </w:tc>
              <w:tc>
                <w:tcPr>
                  <w:tcW w:w="250" w:type="pct"/>
                  <w:hideMark/>
                </w:tcPr>
                <w:p w:rsidR="00771819" w:rsidRPr="00771819" w:rsidRDefault="00771819" w:rsidP="00771819">
                  <w:pPr>
                    <w:spacing w:before="100" w:beforeAutospacing="1" w:after="100" w:afterAutospacing="1" w:line="240" w:lineRule="auto"/>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w:t>
                  </w:r>
                </w:p>
              </w:tc>
              <w:tc>
                <w:tcPr>
                  <w:tcW w:w="500" w:type="pct"/>
                  <w:vAlign w:val="bottom"/>
                  <w:hideMark/>
                </w:tcPr>
                <w:p w:rsidR="00771819" w:rsidRPr="00771819" w:rsidRDefault="00771819" w:rsidP="00771819">
                  <w:pPr>
                    <w:spacing w:before="100" w:beforeAutospacing="1" w:after="100" w:afterAutospacing="1" w:line="240" w:lineRule="auto"/>
                    <w:jc w:val="right"/>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X</w:t>
                  </w:r>
                </w:p>
              </w:tc>
              <w:tc>
                <w:tcPr>
                  <w:tcW w:w="6" w:type="dxa"/>
                  <w:vAlign w:val="center"/>
                  <w:hideMark/>
                </w:tcPr>
                <w:p w:rsidR="00771819" w:rsidRPr="00771819" w:rsidRDefault="00771819" w:rsidP="00771819">
                  <w:pPr>
                    <w:spacing w:after="0" w:line="240" w:lineRule="auto"/>
                    <w:rPr>
                      <w:rFonts w:ascii="Times New Roman" w:eastAsia="Times New Roman" w:hAnsi="Times New Roman" w:cs="Times New Roman"/>
                      <w:color w:val="626262"/>
                      <w:sz w:val="20"/>
                      <w:szCs w:val="20"/>
                    </w:rPr>
                  </w:pPr>
                </w:p>
              </w:tc>
            </w:tr>
            <w:tr w:rsidR="00771819" w:rsidRPr="00771819" w:rsidTr="00771819">
              <w:trPr>
                <w:trHeight w:val="345"/>
                <w:tblCellSpacing w:w="0" w:type="dxa"/>
              </w:trPr>
              <w:tc>
                <w:tcPr>
                  <w:tcW w:w="6480" w:type="dxa"/>
                  <w:hideMark/>
                </w:tcPr>
                <w:p w:rsidR="00771819" w:rsidRPr="00771819" w:rsidRDefault="00771819" w:rsidP="00771819">
                  <w:pPr>
                    <w:spacing w:before="100" w:beforeAutospacing="1" w:after="100" w:afterAutospacing="1" w:line="240" w:lineRule="auto"/>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lastRenderedPageBreak/>
                    <w:t>Прочий доход</w:t>
                  </w:r>
                </w:p>
              </w:tc>
              <w:tc>
                <w:tcPr>
                  <w:tcW w:w="500" w:type="pct"/>
                  <w:hideMark/>
                </w:tcPr>
                <w:p w:rsidR="00771819" w:rsidRPr="00771819" w:rsidRDefault="00771819" w:rsidP="00771819">
                  <w:pPr>
                    <w:spacing w:before="100" w:beforeAutospacing="1" w:after="100" w:afterAutospacing="1" w:line="240" w:lineRule="auto"/>
                    <w:jc w:val="right"/>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w:t>
                  </w:r>
                </w:p>
              </w:tc>
              <w:tc>
                <w:tcPr>
                  <w:tcW w:w="250" w:type="pct"/>
                  <w:hideMark/>
                </w:tcPr>
                <w:p w:rsidR="00771819" w:rsidRPr="00771819" w:rsidRDefault="00771819" w:rsidP="00771819">
                  <w:pPr>
                    <w:spacing w:before="100" w:beforeAutospacing="1" w:after="100" w:afterAutospacing="1" w:line="240" w:lineRule="auto"/>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w:t>
                  </w:r>
                </w:p>
              </w:tc>
              <w:tc>
                <w:tcPr>
                  <w:tcW w:w="500" w:type="pct"/>
                  <w:hideMark/>
                </w:tcPr>
                <w:p w:rsidR="00771819" w:rsidRPr="00771819" w:rsidRDefault="00771819" w:rsidP="00771819">
                  <w:pPr>
                    <w:spacing w:before="100" w:beforeAutospacing="1" w:after="100" w:afterAutospacing="1" w:line="240" w:lineRule="auto"/>
                    <w:jc w:val="right"/>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X</w:t>
                  </w:r>
                </w:p>
              </w:tc>
              <w:tc>
                <w:tcPr>
                  <w:tcW w:w="6" w:type="dxa"/>
                  <w:vAlign w:val="center"/>
                  <w:hideMark/>
                </w:tcPr>
                <w:p w:rsidR="00771819" w:rsidRPr="00771819" w:rsidRDefault="00771819" w:rsidP="00771819">
                  <w:pPr>
                    <w:spacing w:after="0" w:line="240" w:lineRule="auto"/>
                    <w:rPr>
                      <w:rFonts w:ascii="Times New Roman" w:eastAsia="Times New Roman" w:hAnsi="Times New Roman" w:cs="Times New Roman"/>
                      <w:color w:val="626262"/>
                      <w:sz w:val="20"/>
                      <w:szCs w:val="20"/>
                    </w:rPr>
                  </w:pPr>
                </w:p>
              </w:tc>
            </w:tr>
            <w:tr w:rsidR="00771819" w:rsidRPr="00771819" w:rsidTr="00771819">
              <w:trPr>
                <w:trHeight w:val="345"/>
                <w:tblCellSpacing w:w="0" w:type="dxa"/>
              </w:trPr>
              <w:tc>
                <w:tcPr>
                  <w:tcW w:w="6480" w:type="dxa"/>
                  <w:hideMark/>
                </w:tcPr>
                <w:p w:rsidR="00771819" w:rsidRPr="00771819" w:rsidRDefault="00771819" w:rsidP="00771819">
                  <w:pPr>
                    <w:spacing w:before="100" w:beforeAutospacing="1" w:after="100" w:afterAutospacing="1" w:line="240" w:lineRule="auto"/>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Изменения в запасах готовой продукции и незавершенного производства</w:t>
                  </w:r>
                </w:p>
              </w:tc>
              <w:tc>
                <w:tcPr>
                  <w:tcW w:w="500" w:type="pct"/>
                  <w:vAlign w:val="bottom"/>
                  <w:hideMark/>
                </w:tcPr>
                <w:p w:rsidR="00771819" w:rsidRPr="00771819" w:rsidRDefault="00771819" w:rsidP="00771819">
                  <w:pPr>
                    <w:spacing w:before="100" w:beforeAutospacing="1" w:after="100" w:afterAutospacing="1" w:line="240" w:lineRule="auto"/>
                    <w:jc w:val="right"/>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X</w:t>
                  </w:r>
                </w:p>
              </w:tc>
              <w:tc>
                <w:tcPr>
                  <w:tcW w:w="250" w:type="pct"/>
                  <w:hideMark/>
                </w:tcPr>
                <w:p w:rsidR="00771819" w:rsidRPr="00771819" w:rsidRDefault="00771819" w:rsidP="00771819">
                  <w:pPr>
                    <w:spacing w:before="100" w:beforeAutospacing="1" w:after="100" w:afterAutospacing="1" w:line="240" w:lineRule="auto"/>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w:t>
                  </w:r>
                </w:p>
              </w:tc>
              <w:tc>
                <w:tcPr>
                  <w:tcW w:w="500" w:type="pct"/>
                  <w:vAlign w:val="bottom"/>
                  <w:hideMark/>
                </w:tcPr>
                <w:p w:rsidR="00771819" w:rsidRPr="00771819" w:rsidRDefault="00771819" w:rsidP="00771819">
                  <w:pPr>
                    <w:spacing w:before="100" w:beforeAutospacing="1" w:after="100" w:afterAutospacing="1" w:line="240" w:lineRule="auto"/>
                    <w:jc w:val="right"/>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w:t>
                  </w:r>
                </w:p>
              </w:tc>
              <w:tc>
                <w:tcPr>
                  <w:tcW w:w="6" w:type="dxa"/>
                  <w:vAlign w:val="center"/>
                  <w:hideMark/>
                </w:tcPr>
                <w:p w:rsidR="00771819" w:rsidRPr="00771819" w:rsidRDefault="00771819" w:rsidP="00771819">
                  <w:pPr>
                    <w:spacing w:after="0" w:line="240" w:lineRule="auto"/>
                    <w:rPr>
                      <w:rFonts w:ascii="Times New Roman" w:eastAsia="Times New Roman" w:hAnsi="Times New Roman" w:cs="Times New Roman"/>
                      <w:color w:val="626262"/>
                      <w:sz w:val="20"/>
                      <w:szCs w:val="20"/>
                    </w:rPr>
                  </w:pPr>
                </w:p>
              </w:tc>
            </w:tr>
            <w:tr w:rsidR="00771819" w:rsidRPr="00771819" w:rsidTr="00771819">
              <w:trPr>
                <w:trHeight w:val="345"/>
                <w:tblCellSpacing w:w="0" w:type="dxa"/>
              </w:trPr>
              <w:tc>
                <w:tcPr>
                  <w:tcW w:w="6480" w:type="dxa"/>
                  <w:hideMark/>
                </w:tcPr>
                <w:p w:rsidR="00771819" w:rsidRPr="00771819" w:rsidRDefault="00771819" w:rsidP="00771819">
                  <w:pPr>
                    <w:spacing w:before="100" w:beforeAutospacing="1" w:after="100" w:afterAutospacing="1" w:line="240" w:lineRule="auto"/>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Использованное сырье и расходные материалы</w:t>
                  </w:r>
                </w:p>
              </w:tc>
              <w:tc>
                <w:tcPr>
                  <w:tcW w:w="500" w:type="pct"/>
                  <w:vAlign w:val="bottom"/>
                  <w:hideMark/>
                </w:tcPr>
                <w:p w:rsidR="00771819" w:rsidRPr="00771819" w:rsidRDefault="00771819" w:rsidP="00771819">
                  <w:pPr>
                    <w:spacing w:before="100" w:beforeAutospacing="1" w:after="100" w:afterAutospacing="1" w:line="240" w:lineRule="auto"/>
                    <w:jc w:val="right"/>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X</w:t>
                  </w:r>
                </w:p>
              </w:tc>
              <w:tc>
                <w:tcPr>
                  <w:tcW w:w="250" w:type="pct"/>
                  <w:hideMark/>
                </w:tcPr>
                <w:p w:rsidR="00771819" w:rsidRPr="00771819" w:rsidRDefault="00771819" w:rsidP="00771819">
                  <w:pPr>
                    <w:spacing w:before="100" w:beforeAutospacing="1" w:after="100" w:afterAutospacing="1" w:line="240" w:lineRule="auto"/>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w:t>
                  </w:r>
                </w:p>
              </w:tc>
              <w:tc>
                <w:tcPr>
                  <w:tcW w:w="360" w:type="dxa"/>
                  <w:vAlign w:val="center"/>
                  <w:hideMark/>
                </w:tcPr>
                <w:p w:rsidR="00771819" w:rsidRPr="00771819" w:rsidRDefault="00771819" w:rsidP="00771819">
                  <w:pPr>
                    <w:spacing w:before="100" w:beforeAutospacing="1" w:after="100" w:afterAutospacing="1" w:line="240" w:lineRule="auto"/>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w:t>
                  </w:r>
                </w:p>
              </w:tc>
              <w:tc>
                <w:tcPr>
                  <w:tcW w:w="6" w:type="dxa"/>
                  <w:vAlign w:val="center"/>
                  <w:hideMark/>
                </w:tcPr>
                <w:p w:rsidR="00771819" w:rsidRPr="00771819" w:rsidRDefault="00771819" w:rsidP="00771819">
                  <w:pPr>
                    <w:spacing w:after="0" w:line="240" w:lineRule="auto"/>
                    <w:rPr>
                      <w:rFonts w:ascii="Times New Roman" w:eastAsia="Times New Roman" w:hAnsi="Times New Roman" w:cs="Times New Roman"/>
                      <w:color w:val="626262"/>
                      <w:sz w:val="20"/>
                      <w:szCs w:val="20"/>
                    </w:rPr>
                  </w:pPr>
                </w:p>
              </w:tc>
            </w:tr>
            <w:tr w:rsidR="00771819" w:rsidRPr="00771819" w:rsidTr="00771819">
              <w:trPr>
                <w:trHeight w:val="345"/>
                <w:tblCellSpacing w:w="0" w:type="dxa"/>
              </w:trPr>
              <w:tc>
                <w:tcPr>
                  <w:tcW w:w="6480" w:type="dxa"/>
                  <w:hideMark/>
                </w:tcPr>
                <w:p w:rsidR="00771819" w:rsidRPr="00771819" w:rsidRDefault="00771819" w:rsidP="00771819">
                  <w:pPr>
                    <w:spacing w:before="100" w:beforeAutospacing="1" w:after="100" w:afterAutospacing="1" w:line="240" w:lineRule="auto"/>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Расходы на вознаграждения работникам</w:t>
                  </w:r>
                </w:p>
              </w:tc>
              <w:tc>
                <w:tcPr>
                  <w:tcW w:w="500" w:type="pct"/>
                  <w:vAlign w:val="bottom"/>
                  <w:hideMark/>
                </w:tcPr>
                <w:p w:rsidR="00771819" w:rsidRPr="00771819" w:rsidRDefault="00771819" w:rsidP="00771819">
                  <w:pPr>
                    <w:spacing w:before="100" w:beforeAutospacing="1" w:after="100" w:afterAutospacing="1" w:line="240" w:lineRule="auto"/>
                    <w:jc w:val="right"/>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X</w:t>
                  </w:r>
                </w:p>
              </w:tc>
              <w:tc>
                <w:tcPr>
                  <w:tcW w:w="250" w:type="pct"/>
                  <w:hideMark/>
                </w:tcPr>
                <w:p w:rsidR="00771819" w:rsidRPr="00771819" w:rsidRDefault="00771819" w:rsidP="00771819">
                  <w:pPr>
                    <w:spacing w:before="100" w:beforeAutospacing="1" w:after="100" w:afterAutospacing="1" w:line="240" w:lineRule="auto"/>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w:t>
                  </w:r>
                </w:p>
              </w:tc>
              <w:tc>
                <w:tcPr>
                  <w:tcW w:w="360" w:type="dxa"/>
                  <w:vAlign w:val="center"/>
                  <w:hideMark/>
                </w:tcPr>
                <w:p w:rsidR="00771819" w:rsidRPr="00771819" w:rsidRDefault="00771819" w:rsidP="00771819">
                  <w:pPr>
                    <w:spacing w:before="100" w:beforeAutospacing="1" w:after="100" w:afterAutospacing="1" w:line="240" w:lineRule="auto"/>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w:t>
                  </w:r>
                </w:p>
              </w:tc>
              <w:tc>
                <w:tcPr>
                  <w:tcW w:w="6" w:type="dxa"/>
                  <w:vAlign w:val="center"/>
                  <w:hideMark/>
                </w:tcPr>
                <w:p w:rsidR="00771819" w:rsidRPr="00771819" w:rsidRDefault="00771819" w:rsidP="00771819">
                  <w:pPr>
                    <w:spacing w:after="0" w:line="240" w:lineRule="auto"/>
                    <w:rPr>
                      <w:rFonts w:ascii="Times New Roman" w:eastAsia="Times New Roman" w:hAnsi="Times New Roman" w:cs="Times New Roman"/>
                      <w:color w:val="626262"/>
                      <w:sz w:val="20"/>
                      <w:szCs w:val="20"/>
                    </w:rPr>
                  </w:pPr>
                </w:p>
              </w:tc>
            </w:tr>
            <w:tr w:rsidR="00771819" w:rsidRPr="00771819" w:rsidTr="00771819">
              <w:trPr>
                <w:trHeight w:val="345"/>
                <w:tblCellSpacing w:w="0" w:type="dxa"/>
              </w:trPr>
              <w:tc>
                <w:tcPr>
                  <w:tcW w:w="6480" w:type="dxa"/>
                  <w:hideMark/>
                </w:tcPr>
                <w:p w:rsidR="00771819" w:rsidRPr="00771819" w:rsidRDefault="00771819" w:rsidP="00771819">
                  <w:pPr>
                    <w:spacing w:before="100" w:beforeAutospacing="1" w:after="100" w:afterAutospacing="1" w:line="240" w:lineRule="auto"/>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Расходы на амортизацию</w:t>
                  </w:r>
                </w:p>
              </w:tc>
              <w:tc>
                <w:tcPr>
                  <w:tcW w:w="500" w:type="pct"/>
                  <w:vAlign w:val="bottom"/>
                  <w:hideMark/>
                </w:tcPr>
                <w:p w:rsidR="00771819" w:rsidRPr="00771819" w:rsidRDefault="00771819" w:rsidP="00771819">
                  <w:pPr>
                    <w:spacing w:before="100" w:beforeAutospacing="1" w:after="100" w:afterAutospacing="1" w:line="240" w:lineRule="auto"/>
                    <w:jc w:val="right"/>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X</w:t>
                  </w:r>
                </w:p>
              </w:tc>
              <w:tc>
                <w:tcPr>
                  <w:tcW w:w="250" w:type="pct"/>
                  <w:hideMark/>
                </w:tcPr>
                <w:p w:rsidR="00771819" w:rsidRPr="00771819" w:rsidRDefault="00771819" w:rsidP="00771819">
                  <w:pPr>
                    <w:spacing w:before="100" w:beforeAutospacing="1" w:after="100" w:afterAutospacing="1" w:line="240" w:lineRule="auto"/>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w:t>
                  </w:r>
                </w:p>
              </w:tc>
              <w:tc>
                <w:tcPr>
                  <w:tcW w:w="360" w:type="dxa"/>
                  <w:vAlign w:val="center"/>
                  <w:hideMark/>
                </w:tcPr>
                <w:p w:rsidR="00771819" w:rsidRPr="00771819" w:rsidRDefault="00771819" w:rsidP="00771819">
                  <w:pPr>
                    <w:spacing w:before="100" w:beforeAutospacing="1" w:after="100" w:afterAutospacing="1" w:line="240" w:lineRule="auto"/>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w:t>
                  </w:r>
                </w:p>
              </w:tc>
              <w:tc>
                <w:tcPr>
                  <w:tcW w:w="6" w:type="dxa"/>
                  <w:vAlign w:val="center"/>
                  <w:hideMark/>
                </w:tcPr>
                <w:p w:rsidR="00771819" w:rsidRPr="00771819" w:rsidRDefault="00771819" w:rsidP="00771819">
                  <w:pPr>
                    <w:spacing w:after="0" w:line="240" w:lineRule="auto"/>
                    <w:rPr>
                      <w:rFonts w:ascii="Times New Roman" w:eastAsia="Times New Roman" w:hAnsi="Times New Roman" w:cs="Times New Roman"/>
                      <w:color w:val="626262"/>
                      <w:sz w:val="20"/>
                      <w:szCs w:val="20"/>
                    </w:rPr>
                  </w:pPr>
                </w:p>
              </w:tc>
            </w:tr>
            <w:tr w:rsidR="00771819" w:rsidRPr="00771819" w:rsidTr="00771819">
              <w:trPr>
                <w:trHeight w:val="345"/>
                <w:tblCellSpacing w:w="0" w:type="dxa"/>
              </w:trPr>
              <w:tc>
                <w:tcPr>
                  <w:tcW w:w="6480" w:type="dxa"/>
                  <w:hideMark/>
                </w:tcPr>
                <w:p w:rsidR="00771819" w:rsidRPr="00771819" w:rsidRDefault="00771819" w:rsidP="00771819">
                  <w:pPr>
                    <w:spacing w:before="100" w:beforeAutospacing="1" w:after="100" w:afterAutospacing="1" w:line="240" w:lineRule="auto"/>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Прочие расходы</w:t>
                  </w:r>
                </w:p>
              </w:tc>
              <w:tc>
                <w:tcPr>
                  <w:tcW w:w="500" w:type="pct"/>
                  <w:vAlign w:val="bottom"/>
                  <w:hideMark/>
                </w:tcPr>
                <w:p w:rsidR="00771819" w:rsidRPr="00771819" w:rsidRDefault="00771819" w:rsidP="00771819">
                  <w:pPr>
                    <w:spacing w:before="100" w:beforeAutospacing="1" w:after="100" w:afterAutospacing="1" w:line="240" w:lineRule="auto"/>
                    <w:jc w:val="right"/>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X</w:t>
                  </w:r>
                </w:p>
              </w:tc>
              <w:tc>
                <w:tcPr>
                  <w:tcW w:w="250" w:type="pct"/>
                  <w:hideMark/>
                </w:tcPr>
                <w:p w:rsidR="00771819" w:rsidRPr="00771819" w:rsidRDefault="00771819" w:rsidP="00771819">
                  <w:pPr>
                    <w:spacing w:before="100" w:beforeAutospacing="1" w:after="100" w:afterAutospacing="1" w:line="240" w:lineRule="auto"/>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w:t>
                  </w:r>
                </w:p>
              </w:tc>
              <w:tc>
                <w:tcPr>
                  <w:tcW w:w="360" w:type="dxa"/>
                  <w:vAlign w:val="center"/>
                  <w:hideMark/>
                </w:tcPr>
                <w:p w:rsidR="00771819" w:rsidRPr="00771819" w:rsidRDefault="00771819" w:rsidP="00771819">
                  <w:pPr>
                    <w:spacing w:before="100" w:beforeAutospacing="1" w:after="100" w:afterAutospacing="1" w:line="240" w:lineRule="auto"/>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w:t>
                  </w:r>
                </w:p>
              </w:tc>
              <w:tc>
                <w:tcPr>
                  <w:tcW w:w="6" w:type="dxa"/>
                  <w:vAlign w:val="center"/>
                  <w:hideMark/>
                </w:tcPr>
                <w:p w:rsidR="00771819" w:rsidRPr="00771819" w:rsidRDefault="00771819" w:rsidP="00771819">
                  <w:pPr>
                    <w:spacing w:after="0" w:line="240" w:lineRule="auto"/>
                    <w:rPr>
                      <w:rFonts w:ascii="Times New Roman" w:eastAsia="Times New Roman" w:hAnsi="Times New Roman" w:cs="Times New Roman"/>
                      <w:color w:val="626262"/>
                      <w:sz w:val="20"/>
                      <w:szCs w:val="20"/>
                    </w:rPr>
                  </w:pPr>
                </w:p>
              </w:tc>
            </w:tr>
            <w:tr w:rsidR="00771819" w:rsidRPr="00771819" w:rsidTr="00771819">
              <w:trPr>
                <w:trHeight w:val="345"/>
                <w:tblCellSpacing w:w="0" w:type="dxa"/>
              </w:trPr>
              <w:tc>
                <w:tcPr>
                  <w:tcW w:w="6480" w:type="dxa"/>
                  <w:hideMark/>
                </w:tcPr>
                <w:p w:rsidR="00771819" w:rsidRPr="00771819" w:rsidRDefault="00771819" w:rsidP="00771819">
                  <w:pPr>
                    <w:spacing w:before="100" w:beforeAutospacing="1" w:after="100" w:afterAutospacing="1" w:line="240" w:lineRule="auto"/>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Итого расходов</w:t>
                  </w:r>
                </w:p>
              </w:tc>
              <w:tc>
                <w:tcPr>
                  <w:tcW w:w="500" w:type="pct"/>
                  <w:hideMark/>
                </w:tcPr>
                <w:p w:rsidR="00771819" w:rsidRPr="00771819" w:rsidRDefault="00771819" w:rsidP="00771819">
                  <w:pPr>
                    <w:spacing w:before="100" w:beforeAutospacing="1" w:after="100" w:afterAutospacing="1" w:line="240" w:lineRule="auto"/>
                    <w:jc w:val="right"/>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w:t>
                  </w:r>
                </w:p>
              </w:tc>
              <w:tc>
                <w:tcPr>
                  <w:tcW w:w="250" w:type="pct"/>
                  <w:hideMark/>
                </w:tcPr>
                <w:p w:rsidR="00771819" w:rsidRPr="00771819" w:rsidRDefault="00771819" w:rsidP="00771819">
                  <w:pPr>
                    <w:spacing w:before="100" w:beforeAutospacing="1" w:after="100" w:afterAutospacing="1" w:line="240" w:lineRule="auto"/>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w:t>
                  </w:r>
                </w:p>
              </w:tc>
              <w:tc>
                <w:tcPr>
                  <w:tcW w:w="500" w:type="pct"/>
                  <w:vAlign w:val="bottom"/>
                  <w:hideMark/>
                </w:tcPr>
                <w:p w:rsidR="00771819" w:rsidRPr="00771819" w:rsidRDefault="00771819" w:rsidP="00771819">
                  <w:pPr>
                    <w:spacing w:before="100" w:beforeAutospacing="1" w:after="100" w:afterAutospacing="1" w:line="240" w:lineRule="auto"/>
                    <w:jc w:val="right"/>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X</w:t>
                  </w:r>
                </w:p>
              </w:tc>
              <w:tc>
                <w:tcPr>
                  <w:tcW w:w="6" w:type="dxa"/>
                  <w:vAlign w:val="center"/>
                  <w:hideMark/>
                </w:tcPr>
                <w:p w:rsidR="00771819" w:rsidRPr="00771819" w:rsidRDefault="00771819" w:rsidP="00771819">
                  <w:pPr>
                    <w:spacing w:after="0" w:line="240" w:lineRule="auto"/>
                    <w:rPr>
                      <w:rFonts w:ascii="Times New Roman" w:eastAsia="Times New Roman" w:hAnsi="Times New Roman" w:cs="Times New Roman"/>
                      <w:color w:val="626262"/>
                      <w:sz w:val="20"/>
                      <w:szCs w:val="20"/>
                    </w:rPr>
                  </w:pPr>
                </w:p>
              </w:tc>
            </w:tr>
            <w:tr w:rsidR="00771819" w:rsidRPr="00771819" w:rsidTr="00771819">
              <w:trPr>
                <w:trHeight w:val="345"/>
                <w:tblCellSpacing w:w="0" w:type="dxa"/>
              </w:trPr>
              <w:tc>
                <w:tcPr>
                  <w:tcW w:w="6480" w:type="dxa"/>
                  <w:hideMark/>
                </w:tcPr>
                <w:p w:rsidR="00771819" w:rsidRPr="00771819" w:rsidRDefault="00771819" w:rsidP="00771819">
                  <w:pPr>
                    <w:spacing w:before="100" w:beforeAutospacing="1" w:after="100" w:afterAutospacing="1" w:line="240" w:lineRule="auto"/>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Прибыль</w:t>
                  </w:r>
                </w:p>
              </w:tc>
              <w:tc>
                <w:tcPr>
                  <w:tcW w:w="500" w:type="pct"/>
                  <w:hideMark/>
                </w:tcPr>
                <w:p w:rsidR="00771819" w:rsidRPr="00771819" w:rsidRDefault="00771819" w:rsidP="00771819">
                  <w:pPr>
                    <w:spacing w:before="100" w:beforeAutospacing="1" w:after="100" w:afterAutospacing="1" w:line="240" w:lineRule="auto"/>
                    <w:jc w:val="right"/>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w:t>
                  </w:r>
                </w:p>
              </w:tc>
              <w:tc>
                <w:tcPr>
                  <w:tcW w:w="250" w:type="pct"/>
                  <w:hideMark/>
                </w:tcPr>
                <w:p w:rsidR="00771819" w:rsidRPr="00771819" w:rsidRDefault="00771819" w:rsidP="00771819">
                  <w:pPr>
                    <w:spacing w:before="100" w:beforeAutospacing="1" w:after="100" w:afterAutospacing="1" w:line="240" w:lineRule="auto"/>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w:t>
                  </w:r>
                </w:p>
              </w:tc>
              <w:tc>
                <w:tcPr>
                  <w:tcW w:w="500" w:type="pct"/>
                  <w:vAlign w:val="bottom"/>
                  <w:hideMark/>
                </w:tcPr>
                <w:p w:rsidR="00771819" w:rsidRPr="00771819" w:rsidRDefault="00771819" w:rsidP="00771819">
                  <w:pPr>
                    <w:spacing w:before="100" w:beforeAutospacing="1" w:after="100" w:afterAutospacing="1" w:line="240" w:lineRule="auto"/>
                    <w:jc w:val="right"/>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X</w:t>
                  </w:r>
                </w:p>
              </w:tc>
              <w:tc>
                <w:tcPr>
                  <w:tcW w:w="6" w:type="dxa"/>
                  <w:vAlign w:val="center"/>
                  <w:hideMark/>
                </w:tcPr>
                <w:p w:rsidR="00771819" w:rsidRPr="00771819" w:rsidRDefault="00771819" w:rsidP="00771819">
                  <w:pPr>
                    <w:spacing w:after="0" w:line="240" w:lineRule="auto"/>
                    <w:rPr>
                      <w:rFonts w:ascii="Times New Roman" w:eastAsia="Times New Roman" w:hAnsi="Times New Roman" w:cs="Times New Roman"/>
                      <w:color w:val="626262"/>
                      <w:sz w:val="20"/>
                      <w:szCs w:val="20"/>
                    </w:rPr>
                  </w:pPr>
                </w:p>
              </w:tc>
            </w:tr>
          </w:tbl>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92            Второй формой анализа является метод «по функции затрат» или метод себестоимости продаж, при использовании которого расходы классифицируются в соответствии с их функцией в качестве составной части себестоимости продаж или, например, затрат на сбыт или административную деятельность. Предприятие, использующее этот метод, раскрывает как минимум себестоимость своих продаж отдельно от прочих расходов. Этот метод может обеспечить пользователям более уместную информацию по сравнению с классификацией расходов по их характеру, однако распределение затрат по их функциям может потребовать произвольного распределения и значительных профессиональных суждений. Пример классификации на основе метода «по функции затрат» выглядит следующим образом:</w:t>
            </w:r>
          </w:p>
          <w:tbl>
            <w:tblPr>
              <w:tblW w:w="0" w:type="auto"/>
              <w:tblCellSpacing w:w="0" w:type="dxa"/>
              <w:tblCellMar>
                <w:left w:w="0" w:type="dxa"/>
                <w:right w:w="0" w:type="dxa"/>
              </w:tblCellMar>
              <w:tblLook w:val="04A0"/>
            </w:tblPr>
            <w:tblGrid>
              <w:gridCol w:w="6900"/>
              <w:gridCol w:w="1727"/>
              <w:gridCol w:w="6"/>
            </w:tblGrid>
            <w:tr w:rsidR="00771819" w:rsidRPr="00771819" w:rsidTr="00771819">
              <w:trPr>
                <w:trHeight w:val="345"/>
                <w:tblCellSpacing w:w="0" w:type="dxa"/>
              </w:trPr>
              <w:tc>
                <w:tcPr>
                  <w:tcW w:w="6900" w:type="dxa"/>
                  <w:hideMark/>
                </w:tcPr>
                <w:p w:rsidR="00771819" w:rsidRPr="00771819" w:rsidRDefault="00771819" w:rsidP="00771819">
                  <w:pPr>
                    <w:spacing w:before="100" w:beforeAutospacing="1" w:after="100" w:afterAutospacing="1" w:line="240" w:lineRule="auto"/>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Выручка</w:t>
                  </w:r>
                </w:p>
              </w:tc>
              <w:tc>
                <w:tcPr>
                  <w:tcW w:w="1000" w:type="pct"/>
                  <w:hideMark/>
                </w:tcPr>
                <w:p w:rsidR="00771819" w:rsidRPr="00771819" w:rsidRDefault="00771819" w:rsidP="00771819">
                  <w:pPr>
                    <w:spacing w:before="100" w:beforeAutospacing="1" w:after="100" w:afterAutospacing="1" w:line="240" w:lineRule="auto"/>
                    <w:jc w:val="right"/>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X</w:t>
                  </w:r>
                </w:p>
              </w:tc>
              <w:tc>
                <w:tcPr>
                  <w:tcW w:w="6" w:type="dxa"/>
                  <w:vAlign w:val="center"/>
                  <w:hideMark/>
                </w:tcPr>
                <w:p w:rsidR="00771819" w:rsidRPr="00771819" w:rsidRDefault="00771819" w:rsidP="00771819">
                  <w:pPr>
                    <w:spacing w:after="0" w:line="240" w:lineRule="auto"/>
                    <w:rPr>
                      <w:rFonts w:ascii="Times New Roman" w:eastAsia="Times New Roman" w:hAnsi="Times New Roman" w:cs="Times New Roman"/>
                      <w:color w:val="626262"/>
                      <w:sz w:val="20"/>
                      <w:szCs w:val="20"/>
                    </w:rPr>
                  </w:pPr>
                </w:p>
              </w:tc>
            </w:tr>
            <w:tr w:rsidR="00771819" w:rsidRPr="00771819" w:rsidTr="00771819">
              <w:trPr>
                <w:trHeight w:val="345"/>
                <w:tblCellSpacing w:w="0" w:type="dxa"/>
              </w:trPr>
              <w:tc>
                <w:tcPr>
                  <w:tcW w:w="6900" w:type="dxa"/>
                  <w:hideMark/>
                </w:tcPr>
                <w:p w:rsidR="00771819" w:rsidRPr="00771819" w:rsidRDefault="00771819" w:rsidP="00771819">
                  <w:pPr>
                    <w:spacing w:before="100" w:beforeAutospacing="1" w:after="100" w:afterAutospacing="1" w:line="240" w:lineRule="auto"/>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Себестоимость продаж</w:t>
                  </w:r>
                </w:p>
              </w:tc>
              <w:tc>
                <w:tcPr>
                  <w:tcW w:w="1000" w:type="pct"/>
                  <w:hideMark/>
                </w:tcPr>
                <w:p w:rsidR="00771819" w:rsidRPr="00771819" w:rsidRDefault="00771819" w:rsidP="00771819">
                  <w:pPr>
                    <w:spacing w:before="100" w:beforeAutospacing="1" w:after="100" w:afterAutospacing="1" w:line="240" w:lineRule="auto"/>
                    <w:jc w:val="right"/>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X</w:t>
                  </w:r>
                </w:p>
              </w:tc>
              <w:tc>
                <w:tcPr>
                  <w:tcW w:w="6" w:type="dxa"/>
                  <w:vAlign w:val="center"/>
                  <w:hideMark/>
                </w:tcPr>
                <w:p w:rsidR="00771819" w:rsidRPr="00771819" w:rsidRDefault="00771819" w:rsidP="00771819">
                  <w:pPr>
                    <w:spacing w:after="0" w:line="240" w:lineRule="auto"/>
                    <w:rPr>
                      <w:rFonts w:ascii="Times New Roman" w:eastAsia="Times New Roman" w:hAnsi="Times New Roman" w:cs="Times New Roman"/>
                      <w:color w:val="626262"/>
                      <w:sz w:val="20"/>
                      <w:szCs w:val="20"/>
                    </w:rPr>
                  </w:pPr>
                </w:p>
              </w:tc>
            </w:tr>
            <w:tr w:rsidR="00771819" w:rsidRPr="00771819" w:rsidTr="00771819">
              <w:trPr>
                <w:trHeight w:val="345"/>
                <w:tblCellSpacing w:w="0" w:type="dxa"/>
              </w:trPr>
              <w:tc>
                <w:tcPr>
                  <w:tcW w:w="6900" w:type="dxa"/>
                  <w:hideMark/>
                </w:tcPr>
                <w:p w:rsidR="00771819" w:rsidRPr="00771819" w:rsidRDefault="00771819" w:rsidP="00771819">
                  <w:pPr>
                    <w:spacing w:before="100" w:beforeAutospacing="1" w:after="100" w:afterAutospacing="1" w:line="240" w:lineRule="auto"/>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Валовая прибыль</w:t>
                  </w:r>
                </w:p>
              </w:tc>
              <w:tc>
                <w:tcPr>
                  <w:tcW w:w="1000" w:type="pct"/>
                  <w:hideMark/>
                </w:tcPr>
                <w:p w:rsidR="00771819" w:rsidRPr="00771819" w:rsidRDefault="00771819" w:rsidP="00771819">
                  <w:pPr>
                    <w:spacing w:before="100" w:beforeAutospacing="1" w:after="100" w:afterAutospacing="1" w:line="240" w:lineRule="auto"/>
                    <w:jc w:val="right"/>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X</w:t>
                  </w:r>
                </w:p>
              </w:tc>
              <w:tc>
                <w:tcPr>
                  <w:tcW w:w="6" w:type="dxa"/>
                  <w:vAlign w:val="center"/>
                  <w:hideMark/>
                </w:tcPr>
                <w:p w:rsidR="00771819" w:rsidRPr="00771819" w:rsidRDefault="00771819" w:rsidP="00771819">
                  <w:pPr>
                    <w:spacing w:after="0" w:line="240" w:lineRule="auto"/>
                    <w:rPr>
                      <w:rFonts w:ascii="Times New Roman" w:eastAsia="Times New Roman" w:hAnsi="Times New Roman" w:cs="Times New Roman"/>
                      <w:color w:val="626262"/>
                      <w:sz w:val="20"/>
                      <w:szCs w:val="20"/>
                    </w:rPr>
                  </w:pPr>
                </w:p>
              </w:tc>
            </w:tr>
            <w:tr w:rsidR="00771819" w:rsidRPr="00771819" w:rsidTr="00771819">
              <w:trPr>
                <w:trHeight w:val="345"/>
                <w:tblCellSpacing w:w="0" w:type="dxa"/>
              </w:trPr>
              <w:tc>
                <w:tcPr>
                  <w:tcW w:w="6900" w:type="dxa"/>
                  <w:hideMark/>
                </w:tcPr>
                <w:p w:rsidR="00771819" w:rsidRPr="00771819" w:rsidRDefault="00771819" w:rsidP="00771819">
                  <w:pPr>
                    <w:spacing w:before="100" w:beforeAutospacing="1" w:after="100" w:afterAutospacing="1" w:line="240" w:lineRule="auto"/>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Прочий доход</w:t>
                  </w:r>
                </w:p>
              </w:tc>
              <w:tc>
                <w:tcPr>
                  <w:tcW w:w="1000" w:type="pct"/>
                  <w:hideMark/>
                </w:tcPr>
                <w:p w:rsidR="00771819" w:rsidRPr="00771819" w:rsidRDefault="00771819" w:rsidP="00771819">
                  <w:pPr>
                    <w:spacing w:before="100" w:beforeAutospacing="1" w:after="100" w:afterAutospacing="1" w:line="240" w:lineRule="auto"/>
                    <w:jc w:val="right"/>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X</w:t>
                  </w:r>
                </w:p>
              </w:tc>
              <w:tc>
                <w:tcPr>
                  <w:tcW w:w="6" w:type="dxa"/>
                  <w:vAlign w:val="center"/>
                  <w:hideMark/>
                </w:tcPr>
                <w:p w:rsidR="00771819" w:rsidRPr="00771819" w:rsidRDefault="00771819" w:rsidP="00771819">
                  <w:pPr>
                    <w:spacing w:after="0" w:line="240" w:lineRule="auto"/>
                    <w:rPr>
                      <w:rFonts w:ascii="Times New Roman" w:eastAsia="Times New Roman" w:hAnsi="Times New Roman" w:cs="Times New Roman"/>
                      <w:color w:val="626262"/>
                      <w:sz w:val="20"/>
                      <w:szCs w:val="20"/>
                    </w:rPr>
                  </w:pPr>
                </w:p>
              </w:tc>
            </w:tr>
            <w:tr w:rsidR="00771819" w:rsidRPr="00771819" w:rsidTr="00771819">
              <w:trPr>
                <w:trHeight w:val="345"/>
                <w:tblCellSpacing w:w="0" w:type="dxa"/>
              </w:trPr>
              <w:tc>
                <w:tcPr>
                  <w:tcW w:w="6900" w:type="dxa"/>
                  <w:hideMark/>
                </w:tcPr>
                <w:p w:rsidR="00771819" w:rsidRPr="00771819" w:rsidRDefault="00771819" w:rsidP="00771819">
                  <w:pPr>
                    <w:spacing w:before="100" w:beforeAutospacing="1" w:after="100" w:afterAutospacing="1" w:line="240" w:lineRule="auto"/>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Затраты на сбыт</w:t>
                  </w:r>
                </w:p>
              </w:tc>
              <w:tc>
                <w:tcPr>
                  <w:tcW w:w="1000" w:type="pct"/>
                  <w:hideMark/>
                </w:tcPr>
                <w:p w:rsidR="00771819" w:rsidRPr="00771819" w:rsidRDefault="00771819" w:rsidP="00771819">
                  <w:pPr>
                    <w:spacing w:before="100" w:beforeAutospacing="1" w:after="100" w:afterAutospacing="1" w:line="240" w:lineRule="auto"/>
                    <w:jc w:val="right"/>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X</w:t>
                  </w:r>
                </w:p>
              </w:tc>
              <w:tc>
                <w:tcPr>
                  <w:tcW w:w="6" w:type="dxa"/>
                  <w:vAlign w:val="center"/>
                  <w:hideMark/>
                </w:tcPr>
                <w:p w:rsidR="00771819" w:rsidRPr="00771819" w:rsidRDefault="00771819" w:rsidP="00771819">
                  <w:pPr>
                    <w:spacing w:after="0" w:line="240" w:lineRule="auto"/>
                    <w:rPr>
                      <w:rFonts w:ascii="Times New Roman" w:eastAsia="Times New Roman" w:hAnsi="Times New Roman" w:cs="Times New Roman"/>
                      <w:color w:val="626262"/>
                      <w:sz w:val="20"/>
                      <w:szCs w:val="20"/>
                    </w:rPr>
                  </w:pPr>
                </w:p>
              </w:tc>
            </w:tr>
            <w:tr w:rsidR="00771819" w:rsidRPr="00771819" w:rsidTr="00771819">
              <w:trPr>
                <w:trHeight w:val="345"/>
                <w:tblCellSpacing w:w="0" w:type="dxa"/>
              </w:trPr>
              <w:tc>
                <w:tcPr>
                  <w:tcW w:w="6900" w:type="dxa"/>
                  <w:hideMark/>
                </w:tcPr>
                <w:p w:rsidR="00771819" w:rsidRPr="00771819" w:rsidRDefault="00771819" w:rsidP="00771819">
                  <w:pPr>
                    <w:spacing w:before="100" w:beforeAutospacing="1" w:after="100" w:afterAutospacing="1" w:line="240" w:lineRule="auto"/>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Административные расходы</w:t>
                  </w:r>
                </w:p>
              </w:tc>
              <w:tc>
                <w:tcPr>
                  <w:tcW w:w="1000" w:type="pct"/>
                  <w:hideMark/>
                </w:tcPr>
                <w:p w:rsidR="00771819" w:rsidRPr="00771819" w:rsidRDefault="00771819" w:rsidP="00771819">
                  <w:pPr>
                    <w:spacing w:before="100" w:beforeAutospacing="1" w:after="100" w:afterAutospacing="1" w:line="240" w:lineRule="auto"/>
                    <w:jc w:val="right"/>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X</w:t>
                  </w:r>
                </w:p>
              </w:tc>
              <w:tc>
                <w:tcPr>
                  <w:tcW w:w="6" w:type="dxa"/>
                  <w:vAlign w:val="center"/>
                  <w:hideMark/>
                </w:tcPr>
                <w:p w:rsidR="00771819" w:rsidRPr="00771819" w:rsidRDefault="00771819" w:rsidP="00771819">
                  <w:pPr>
                    <w:spacing w:after="0" w:line="240" w:lineRule="auto"/>
                    <w:rPr>
                      <w:rFonts w:ascii="Times New Roman" w:eastAsia="Times New Roman" w:hAnsi="Times New Roman" w:cs="Times New Roman"/>
                      <w:color w:val="626262"/>
                      <w:sz w:val="20"/>
                      <w:szCs w:val="20"/>
                    </w:rPr>
                  </w:pPr>
                </w:p>
              </w:tc>
            </w:tr>
            <w:tr w:rsidR="00771819" w:rsidRPr="00771819" w:rsidTr="00771819">
              <w:trPr>
                <w:trHeight w:val="345"/>
                <w:tblCellSpacing w:w="0" w:type="dxa"/>
              </w:trPr>
              <w:tc>
                <w:tcPr>
                  <w:tcW w:w="6900" w:type="dxa"/>
                  <w:hideMark/>
                </w:tcPr>
                <w:p w:rsidR="00771819" w:rsidRPr="00771819" w:rsidRDefault="00771819" w:rsidP="00771819">
                  <w:pPr>
                    <w:spacing w:before="100" w:beforeAutospacing="1" w:after="100" w:afterAutospacing="1" w:line="240" w:lineRule="auto"/>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Прочие расходы</w:t>
                  </w:r>
                </w:p>
              </w:tc>
              <w:tc>
                <w:tcPr>
                  <w:tcW w:w="1000" w:type="pct"/>
                  <w:hideMark/>
                </w:tcPr>
                <w:p w:rsidR="00771819" w:rsidRPr="00771819" w:rsidRDefault="00771819" w:rsidP="00771819">
                  <w:pPr>
                    <w:spacing w:before="100" w:beforeAutospacing="1" w:after="100" w:afterAutospacing="1" w:line="240" w:lineRule="auto"/>
                    <w:jc w:val="right"/>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X</w:t>
                  </w:r>
                </w:p>
              </w:tc>
              <w:tc>
                <w:tcPr>
                  <w:tcW w:w="6" w:type="dxa"/>
                  <w:vAlign w:val="center"/>
                  <w:hideMark/>
                </w:tcPr>
                <w:p w:rsidR="00771819" w:rsidRPr="00771819" w:rsidRDefault="00771819" w:rsidP="00771819">
                  <w:pPr>
                    <w:spacing w:after="0" w:line="240" w:lineRule="auto"/>
                    <w:rPr>
                      <w:rFonts w:ascii="Times New Roman" w:eastAsia="Times New Roman" w:hAnsi="Times New Roman" w:cs="Times New Roman"/>
                      <w:color w:val="626262"/>
                      <w:sz w:val="20"/>
                      <w:szCs w:val="20"/>
                    </w:rPr>
                  </w:pPr>
                </w:p>
              </w:tc>
            </w:tr>
            <w:tr w:rsidR="00771819" w:rsidRPr="00771819" w:rsidTr="00771819">
              <w:trPr>
                <w:trHeight w:val="345"/>
                <w:tblCellSpacing w:w="0" w:type="dxa"/>
              </w:trPr>
              <w:tc>
                <w:tcPr>
                  <w:tcW w:w="6900" w:type="dxa"/>
                  <w:hideMark/>
                </w:tcPr>
                <w:p w:rsidR="00771819" w:rsidRPr="00771819" w:rsidRDefault="00771819" w:rsidP="00771819">
                  <w:pPr>
                    <w:spacing w:before="100" w:beforeAutospacing="1" w:after="100" w:afterAutospacing="1" w:line="240" w:lineRule="auto"/>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Прибыль</w:t>
                  </w:r>
                </w:p>
              </w:tc>
              <w:tc>
                <w:tcPr>
                  <w:tcW w:w="1000" w:type="pct"/>
                  <w:hideMark/>
                </w:tcPr>
                <w:p w:rsidR="00771819" w:rsidRPr="00771819" w:rsidRDefault="00771819" w:rsidP="00771819">
                  <w:pPr>
                    <w:spacing w:before="100" w:beforeAutospacing="1" w:after="100" w:afterAutospacing="1" w:line="240" w:lineRule="auto"/>
                    <w:jc w:val="right"/>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X</w:t>
                  </w:r>
                </w:p>
              </w:tc>
              <w:tc>
                <w:tcPr>
                  <w:tcW w:w="6" w:type="dxa"/>
                  <w:vAlign w:val="center"/>
                  <w:hideMark/>
                </w:tcPr>
                <w:p w:rsidR="00771819" w:rsidRPr="00771819" w:rsidRDefault="00771819" w:rsidP="00771819">
                  <w:pPr>
                    <w:spacing w:after="0" w:line="240" w:lineRule="auto"/>
                    <w:rPr>
                      <w:rFonts w:ascii="Times New Roman" w:eastAsia="Times New Roman" w:hAnsi="Times New Roman" w:cs="Times New Roman"/>
                      <w:color w:val="626262"/>
                      <w:sz w:val="20"/>
                      <w:szCs w:val="20"/>
                    </w:rPr>
                  </w:pPr>
                </w:p>
              </w:tc>
            </w:tr>
          </w:tbl>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93           Предприятие, классифицирующее расходы на основе их функции, должно раскрывать дополнительную информацию о характере расходов, включая затраты на амортизацию и расходы на вознаграждения работникам.</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94            Выбор между методом «по функции затрат» и методом «по характеру затрат» зависит от исторических и отраслевых факторов, а также от характера предприятия. Оба метода выделяют те затраты, которые могут изменяться, прямо или косвенно, с изменением объема продаж или производства предприятия. Поскольку каждый способ представления имеет свои преимущества для различных видов предприятий, настоящий стандарт требует, чтобы руководство выбрало наиболее уместный и надежный способ представления. Тем не менее, поскольку информация о характере затрат полезна при прогнозировании будущих потоков денежных средств, при использовании классификации на основе функции затрат требуется дополнительное раскрытие информации. В пункте 93 термин «вознаграждения работникам» употребляется в том же значении, что и в МСФО (IAS) 19</w:t>
            </w:r>
            <w:r w:rsidRPr="00771819">
              <w:rPr>
                <w:rFonts w:ascii="Times New Roman" w:eastAsia="Times New Roman" w:hAnsi="Times New Roman" w:cs="Times New Roman"/>
                <w:color w:val="626262"/>
                <w:sz w:val="20"/>
              </w:rPr>
              <w:t> </w:t>
            </w:r>
            <w:r w:rsidRPr="00771819">
              <w:rPr>
                <w:rFonts w:ascii="Times New Roman" w:eastAsia="Times New Roman" w:hAnsi="Times New Roman" w:cs="Times New Roman"/>
                <w:i/>
                <w:iCs/>
                <w:color w:val="626262"/>
                <w:sz w:val="20"/>
              </w:rPr>
              <w:t>«Вознаграждения работникам»</w:t>
            </w:r>
            <w:r w:rsidRPr="00771819">
              <w:rPr>
                <w:rFonts w:ascii="Times New Roman" w:eastAsia="Times New Roman" w:hAnsi="Times New Roman" w:cs="Times New Roman"/>
                <w:color w:val="626262"/>
                <w:sz w:val="20"/>
                <w:szCs w:val="20"/>
              </w:rPr>
              <w:t>.</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95           Предприятие должно раскрывать либо непосредственно в отчете о прибылях и убытках или в отчете об изменениях в собственном капитале, либо в примечаниях к отчетности сумму дивидендов, признанную в качестве распределения прибыли в пользу владельцев собственного капитала за отчетный период, а также соответствующую сумму в расчете на одну акцию.</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Отчет об изменениях в собственном капитале</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xml:space="preserve">96           Предприятие должно представлять отчет об изменениях в собственном капитале, непосредственно </w:t>
            </w:r>
            <w:r w:rsidRPr="00771819">
              <w:rPr>
                <w:rFonts w:ascii="Times New Roman" w:eastAsia="Times New Roman" w:hAnsi="Times New Roman" w:cs="Times New Roman"/>
                <w:color w:val="626262"/>
                <w:sz w:val="20"/>
                <w:szCs w:val="20"/>
              </w:rPr>
              <w:lastRenderedPageBreak/>
              <w:t>включающий следующую информацию:</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(a)           прибыль или убыток за период;</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(b)           каждая статья доходов или расходов за период, признанная в составе собственного капитала в соответствии с требованиями других стандартов или разъяснений, а также итоговая сумма по этим статьям;</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(c)           итоговая сумма доходов и расходов за период (рассчитанная как сумма показателей, определенных в соответствии с подпунктами (a) и (b)), с отдельным отражением итоговых сумм, относящихся к владельцам собственного капитала материнского предприятия и к доле меньшинства; 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(d)           применительно к каждому компоненту собственного капитала влияние изменений в учетной политике и исправления ошибок, признанные в соответствии с МСФО (IAS) 8.</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Отчет об изменениях в собственном капитале, включающий только эти статьи, должен быть озаглавлен «отчет о признанных доходах и расходах».</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97           Предприятие также должно представлять либо непосредственно в отчете об изменениях в собственном капитале, либо в примечаниях следующую информацию:</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(a)           суммы операций с владельцами собственного капитала, действующими в качестве владельцев собственного капитала, с выделением распределения прибыли в пользу владельцев собственного капитала;</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(b)           сальдо нераспределенной прибыли (т.е. накопленной прибыли или накопленного убытка) на начало периода и на отчетную дату, а также соответствующие изменения за период; 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(c)           сверка между балансовой стоимостью каждого вида взносов в собственный капитал и каждым капитальным резервом на начало и на конец периода, с отдельным раскрытием каждого изменения.</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98            Изменения в собственном капитале предприятия между двумя отчетными датами отражают увеличение или уменьшения его чистых активов за этот период. За исключением изменений, возникающих вследствие операций с владельцами собственного капитала, действующими в качестве владельцев собственного капитала, (такими, как взносы в собственный капитал, выкуп собственных долевых инструментов предприятия и выплата дивидендов) и затрат, непосредственно связанных с такими операциями, общее изменение в капитале за период представляет собой общую сумму доходов и расходов, включая прибыли и убытки, полученные в результате деятельности предприятия в течение отчетного периода (вне зависимости от того, были ли эти статьи доходов и расходов признаны в составе прибыли или убытка или же непосредственно отнесены на изменения в собственном капитале).</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99            Настоящий стандарт требует, чтобы все статьи доходов и расходов, признанные в течение периода, были включены в состав прибыли или убытка, если какой-либо другой стандарт или какое-либо разъяснение не требует иного. Другие стандарты требуют, чтобы некоторые прибыли и убытки (такие, как прирост или уменьшение стоимости от переоценки, определенные курсовые разницы, прибыли или убытки от переоценки финансовых активов, имеющихся в наличии для продажи, и соответствующие суммы текущего налога и отложенного налога) признавались непосредственно как изменения в собственном капитале. Поскольку при оценке изменений в финансовом положении предприятия за период между двумя отчетными датами важно учитывать все статьи доходов и расходов, настоящий стандарт требует представления такого отчета об изменениях в собственном капитале, в котором выделяются итоговые суммы доходов и расходов предприятия, включая расходы и доходы, подлежащие признанию непосредственно в составе собственного капитала.</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xml:space="preserve">100          МСФО (IAS) 8 требует проведения ретроспективных корректировок для отражения изменений в учетной политике в той мере, в которой это возможно, если условия перехода на новый порядок учета в другом стандарте или в каком-либо разъяснении не требуют иного. МСФО (IAS) 8 также требует проведения ретроспективного пересчета для исправления ошибок в той мере, в которой это возможно. Ретроспективные корректировки и ретроспективный пересчет относятся на сальдо нераспределенной прибыли, если какой-либо стандарт или какое-либо разъяснение не требуют ретроспективной корректировки другого компонента собственного капитала. Пункт 96(d) требует, чтобы в отчете об изменениях в собственном капитале была раскрыта информация об итоговых суммах корректировок для каждого компонента собственного капитала отдельно в результате изменений в учетной политике и в </w:t>
            </w:r>
            <w:r w:rsidRPr="00771819">
              <w:rPr>
                <w:rFonts w:ascii="Times New Roman" w:eastAsia="Times New Roman" w:hAnsi="Times New Roman" w:cs="Times New Roman"/>
                <w:color w:val="626262"/>
                <w:sz w:val="20"/>
                <w:szCs w:val="20"/>
              </w:rPr>
              <w:lastRenderedPageBreak/>
              <w:t>результате исправления ошибок. Такие корректировки подлежат раскрытию за каждый предыдущий период и на начало текущего периода.</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101          Требования, изложенные в пунктах 96 и 97, можно выполнить различными способами. Например, можно использовать многоколончатый формат, в котором представлена сверка начального и конечного сальдо по каждому элементу, входящему в состав собственного капитала. Альтернативный способ заключается в представлении в отчете об изменениях в собственном капитале только тех статей, которые перечислены в пункте 96. При применении такого подхода статьи, описанные в пункте 97, отражаются в примечаниях.</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b/>
                <w:bCs/>
                <w:color w:val="626262"/>
                <w:sz w:val="20"/>
              </w:rPr>
              <w:t>Отчет о движении денежных средств</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102          Информация о движении денежных средств обеспечивает пользователей финансовой отчетности основой для оценки способности предприятия генерировать денежные средства и эквиваленты денежных средств и потребностей предприятия в использовании этих потоков денежных средств. МСФО (IAS) 7</w:t>
            </w:r>
            <w:r w:rsidRPr="00771819">
              <w:rPr>
                <w:rFonts w:ascii="Times New Roman" w:eastAsia="Times New Roman" w:hAnsi="Times New Roman" w:cs="Times New Roman"/>
                <w:i/>
                <w:iCs/>
                <w:color w:val="626262"/>
                <w:sz w:val="20"/>
              </w:rPr>
              <w:t>«Отчеты о движении денежных средств»</w:t>
            </w:r>
            <w:r w:rsidRPr="00771819">
              <w:rPr>
                <w:rFonts w:ascii="Times New Roman" w:eastAsia="Times New Roman" w:hAnsi="Times New Roman" w:cs="Times New Roman"/>
                <w:color w:val="626262"/>
                <w:sz w:val="20"/>
              </w:rPr>
              <w:t> </w:t>
            </w:r>
            <w:r w:rsidRPr="00771819">
              <w:rPr>
                <w:rFonts w:ascii="Times New Roman" w:eastAsia="Times New Roman" w:hAnsi="Times New Roman" w:cs="Times New Roman"/>
                <w:color w:val="626262"/>
                <w:sz w:val="20"/>
                <w:szCs w:val="20"/>
              </w:rPr>
              <w:t>устанавливает требования в отношении представления отчета о движении денежных средств и соответствующих раскрытий.</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b/>
                <w:bCs/>
                <w:color w:val="626262"/>
                <w:sz w:val="20"/>
              </w:rPr>
              <w:t>Примечания</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b/>
                <w:bCs/>
                <w:color w:val="626262"/>
                <w:sz w:val="20"/>
              </w:rPr>
              <w:t>Структура</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103         Примечания должны:</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(a)           представлять информацию об основе подготовки финансовой отчетности и об используемой учетной политике в соответствии с пунктами 108-115;</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(b)           раскрывать информацию, требуемую МСФО (IFRS), которая не представляется непосредственно в балансе, отчете о прибылях и убытках, отчете об изменениях в собственном капитале и отчете о движении денежных средств; 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(c)           обеспечивать дополнительную информацию, которая не представляется непосредственно в балансе, отчете о прибылях и убытках, отчете об изменениях в собственном капитале и отчете о движении денежных средств, но уместна в целях понимания любого из указанных отчетов.</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104         Примечания должны представляться в упорядоченном виде в той мере, в которой это возможно. Каждая статья, представленная непосредственно в балансе, отчете о прибылях и убытках, отчете об изменениях в собственном капитале и отчете о движении денежных средств, должна содержать перекрестную ссылку на относящуюся к ней информацию в примечаниях.</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105          Примечания обычно представляются в следующем порядке, который помогает пользователям в понимании финансовой отчетности и сопоставлении ее с финансовой отчетностью других предприятий:</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(a)           заявление о соответствии МСФО (IFRS) (см. пункт 14);</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(b)           краткий обзор основных принципов учетной политики (см. пункт 108);</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(c)           сопроводительная информация по статьям, представленным непосредственно в балансе, отчете о прибылях и убытках, отчете об изменениях в собственном капитале и отчете о движении денежных средств в том же порядке, что и порядок представления каждого отчета и каждой статьи; 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(d)           раскрытие прочей информации, в том числе:</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(i)            условные обязательства (см. МСФО (IAS) 37) и непризнанные договорные обязательства; 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lastRenderedPageBreak/>
              <w:t>(ii)           раскрытие нефинансовой информации, например, цели и политика предприятия в области управления рисками (см. МСФО (IFRS) 7).</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106          В некоторых случаях необходимо или целесообразно изменить порядок следования отдельных статей в примечаниях к отчетности. Например, информация об изменениях в справедливой стоимости, признанных в прибыли или убытке, может быть объединена с информацией о сроках погашения финансовых инструментов, несмотря на то, что первое относится к отчету о прибылях и убытках, а последнее - к балансу. Тем не менее, следует придерживаться упорядоченной структуры в той мере, в которой это возможно.</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107          Примечания, содержащие информацию об основе подготовки финансовой отчетности и конкретных принципах учетной политики, могут быть представлены в качестве отдельного компонента финансовой отчетности.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b/>
                <w:bCs/>
                <w:color w:val="626262"/>
                <w:sz w:val="20"/>
              </w:rPr>
              <w:t>Раскрытие информации об учетной политике</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108         В кратком обзоре основных принципов учетной политики предприятие должно раскрывать следующую информацию:</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(a)           основа (или база) измерения, использованная при составлении финансовой отчетности; 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(b)           прочие принципы учетной политики, которые представляются уместными для понимания финансовой отчетности.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109          Пользователям важно иметь информацию о базе или базах измерения, использованных в финансовой отчетности (например, историческая стоимость, текущая стоимость, чистая цена продажи, справедливая стоимость или возмещаемая стоимость), поскольку основа составления финансовой отчетности значительно влияет на проводимый пользователями анализ. Если в финансовой отчетности используется больше одной базы измерения, например, в случае переоценки отдельных видов активов, достаточно указать категории активов и обязательств, к которым применяется каждая из баз измерения.</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110          При принятии решения о том, следует ли раскрывать информацию о конкретном принципе учетной политики, руководство рассматривает вопрос о том, будет ли такое раскрытие информации полезно для понимания пользователями способа отражения операций, других событий и условий в финансовых результатах и финансовом положении, являющихся предметом отчетности. Раскрытие конкретных принципов учетной политики особенно полезно для пользователей, если такие принципы выбраны из числа альтернативных вариантов, предусмотренных стандартами или разъяснениями. Примером может служить раскрытие информации о том, признает ли участник совместного предпринимательства свою долю в совместно контролируемом предприятии на основе пропорциональной консолидации или на основе метода долевого участия (см. МСФО (IAS) 31</w:t>
            </w:r>
            <w:r w:rsidRPr="00771819">
              <w:rPr>
                <w:rFonts w:ascii="Times New Roman" w:eastAsia="Times New Roman" w:hAnsi="Times New Roman" w:cs="Times New Roman"/>
                <w:color w:val="626262"/>
                <w:sz w:val="20"/>
              </w:rPr>
              <w:t> </w:t>
            </w:r>
            <w:r w:rsidRPr="00771819">
              <w:rPr>
                <w:rFonts w:ascii="Times New Roman" w:eastAsia="Times New Roman" w:hAnsi="Times New Roman" w:cs="Times New Roman"/>
                <w:i/>
                <w:iCs/>
                <w:color w:val="626262"/>
                <w:sz w:val="20"/>
              </w:rPr>
              <w:t>«Участие в совместной деятельности»</w:t>
            </w:r>
            <w:r w:rsidRPr="00771819">
              <w:rPr>
                <w:rFonts w:ascii="Times New Roman" w:eastAsia="Times New Roman" w:hAnsi="Times New Roman" w:cs="Times New Roman"/>
                <w:color w:val="626262"/>
                <w:sz w:val="20"/>
                <w:szCs w:val="20"/>
              </w:rPr>
              <w:t>). Некоторые стандарты содержат отдельное требование раскрыть информацию о конкретных принципах учетной политики, включая выбор, сделанный руководством из числа возможных альтернатив. Например, МСФО (IAS) 16 требует раскрытия базы измерения, использованной для отдельных видов основных средств. МСФО (IAS) 23</w:t>
            </w:r>
            <w:r w:rsidRPr="00771819">
              <w:rPr>
                <w:rFonts w:ascii="Times New Roman" w:eastAsia="Times New Roman" w:hAnsi="Times New Roman" w:cs="Times New Roman"/>
                <w:color w:val="626262"/>
                <w:sz w:val="20"/>
              </w:rPr>
              <w:t> </w:t>
            </w:r>
            <w:r w:rsidRPr="00771819">
              <w:rPr>
                <w:rFonts w:ascii="Times New Roman" w:eastAsia="Times New Roman" w:hAnsi="Times New Roman" w:cs="Times New Roman"/>
                <w:i/>
                <w:iCs/>
                <w:color w:val="626262"/>
                <w:sz w:val="20"/>
              </w:rPr>
              <w:t>«Затраты по займам»</w:t>
            </w:r>
            <w:r w:rsidRPr="00771819">
              <w:rPr>
                <w:rFonts w:ascii="Times New Roman" w:eastAsia="Times New Roman" w:hAnsi="Times New Roman" w:cs="Times New Roman"/>
                <w:color w:val="626262"/>
                <w:sz w:val="20"/>
              </w:rPr>
              <w:t> </w:t>
            </w:r>
            <w:r w:rsidRPr="00771819">
              <w:rPr>
                <w:rFonts w:ascii="Times New Roman" w:eastAsia="Times New Roman" w:hAnsi="Times New Roman" w:cs="Times New Roman"/>
                <w:color w:val="626262"/>
                <w:sz w:val="20"/>
                <w:szCs w:val="20"/>
              </w:rPr>
              <w:t>требует раскрытия информации о том, признаются ли затраты по займам немедленно в качестве расходов или же капитализируются как часть себестоимости активов, отвечающих определенным требованиям.</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111          Каждое предприятие принимает во внимание характер своей деятельности и то, какую политику ожидают увидеть пользователи финансовой отчетности предприятия применительно к данному виду предприятия. Например, ожидается, что предприятие, облагаемое налогами на прибыль, раскроет информацию о своей учетной политике в отношении налогов на прибыль, включая ту, которая применяется к отложенным налоговым обязательствам и активам. Если предприятие осуществляет значительную зарубежную деятельность или проводит значительные операции в иностранной валюте, ожидается, что будет раскрыта информация об учетной политике в отношении признания положительных и отрицательных курсовых разниц. Если имело место объединение бизнеса, раскрывается учетная политика, регламентирующая измерение гудвила и доли меньшинства.</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xml:space="preserve">112          Какой-либо принцип учетной политики может оказаться значительным с точки зрения характера </w:t>
            </w:r>
            <w:r w:rsidRPr="00771819">
              <w:rPr>
                <w:rFonts w:ascii="Times New Roman" w:eastAsia="Times New Roman" w:hAnsi="Times New Roman" w:cs="Times New Roman"/>
                <w:color w:val="626262"/>
                <w:sz w:val="20"/>
                <w:szCs w:val="20"/>
              </w:rPr>
              <w:lastRenderedPageBreak/>
              <w:t>деятельности предприятия, даже если суммы за текущий и предыдущий периоды не являются существенными. Также целесообразно раскрыть каждый принцип учетной политики, не являющийся предметом конкретных требований МСФО (IFRS), однако выбранный и применяемый в соответствии с МСФО (IAS) 8.</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113         В кратком обзоре основных принципов учетной политики или в прочих примечаниях предприятие должно раскрыть информацию о профессиональных суждениях, за исключением связанных с расчетными оценками (см. пункт 116), которые были выработаны руководством в процессе применения различных принципов учетной политики и которые оказывают наиболее значительное влияние на суммы, признанные в финансовой отчетности.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114          В процессе применения учетной политики руководство формирует различные профессиональные суждения, помимо связанных с расчетными оценками, которые могут оказать значительное влияние на суммы, признанные в финансовой отчетности. Например, руководство формирует профессиональные суждения при определении следующих вопросов:</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(a)           являются ли активы инвестициями, удерживаемыми до погашения;</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(b)           в какой момент времени все значительные риски и вознаграждения, связанные с правом собственности на финансовые активы и активы, сдаваемые в аренду, переходят к другим предприятиям;</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(c)           являются ли отдельные продажи товаров по существу соглашениями о финансировании и, следовательно, не приводят к возникновению выручки; 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(d)           не указывает ли существо отношений между данным предприятием и каким-либо предприятием специального назначения на то, что такое предприятие специального назначения контролируется данным предприятием.</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115          Раскрытие некоторой информации, предусмотренное пунктом 113, требуется и соответствии с другими стандартами. Например, МСФО (IAS) 27 требует, чтобы предприятие раскрывало информацию о причинах, по которым его доля собственности не обеспечивает контроль в отношении объекта инвестиций, не являющегося дочерним предприятием, несмотря на то, что предприятию прямо или косвенно, через дочерние предприятия, принадлежит более половины прав голоса или потенциальных прав голоса. МСФО (IAS) 40 требует раскрытия информации о критериях, выработанных предприятием для разграничения инвестиционного имущества и объектов недвижимости, занимаемых владельцем или удерживаемых для продажи в ходе обычной деятельности, в случаях, когда классификация недвижимости вызывает затруднения.</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b/>
                <w:bCs/>
                <w:color w:val="626262"/>
                <w:sz w:val="20"/>
              </w:rPr>
              <w:t>Основные источники неопределенности расчетных оценок</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116         В примечаниях к финансовой отчетности предприятие должно раскрыть информацию об основных допущениях, касающихся будущего, и прочих основных источниках неопределенности расчетных оценок на отчетную дату, которые заключают в себе значительный риск возникновения необходимости вносить существенные корректировки в балансовую стоимость активов и обязательств в следующем финансовом году. Применительно к таким активам и обязательствам примечания должны содержать подробную информацию об:</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(a)           их характере; 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(b)           их балансовой стоимости на отчетную дату.</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xml:space="preserve">117          Определение балансовой стоимости некоторых активов и обязательств требует расчетной оценки воздействия будущих событий, возникновение которых неопределенно, на эти активы и обязательства на отчетную дату. Например, при отсутствии рыночных цен по недавно заключенным сделкам, используемых для измерения перечисленных ниже активов и обязательств, для измерения возмещаемой стоимости различных видов основных средств, воздействия технологического устаревания на запасы, резервов, зависящих от исхода продолжающихся судебных разбирательств, и долгосрочных обязательств, предусматривающих выплаты работникам, таких, как пенсионные обязательства, необходимо использовать </w:t>
            </w:r>
            <w:r w:rsidRPr="00771819">
              <w:rPr>
                <w:rFonts w:ascii="Times New Roman" w:eastAsia="Times New Roman" w:hAnsi="Times New Roman" w:cs="Times New Roman"/>
                <w:color w:val="626262"/>
                <w:sz w:val="20"/>
                <w:szCs w:val="20"/>
              </w:rPr>
              <w:lastRenderedPageBreak/>
              <w:t>расчетные оценки в отношении будущего. Эти расчетные оценки предполагают допущения о таких статьях, как корректировка потоков денежных средств или используемых ставок дисконтирования с учетом риска, будущие изменения в размере заработной платы и будущие изменения в ценах, влияющие на прочие затраты.</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118          Основные допущения и прочие основные источники неопределенности расчетных оценок, раскрытые в соответствии с пунктом 116, относятся к расчетным оценкам, которые требуют от руководства наиболее трудных, субъективных или сложных профессиональных суждений. По мере увеличения количества переменных и допущений, влияющих на возможное будущее разрешение неопределенности, эти профессиональные суждения становятся все более субъективными и сложными, и вероятность того, что впоследствии придется вносить существенные корректировки в балансовую стоимость активов и обязательств, обычно повышается соответствующим образом.</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119          Раскрытие информации, предусмотренной пунктом 116, не требуется в отношении активов и обязательств, которые заключают в себе значительный риск существенного изменения балансовой стоимости в течение следующего финансового года, если на отчетную дату она измеряется по справедливой стоимости на основе рыночных цен по недавно заключенным сделкам (их справедливая стоимость может существенно измениться в течение следующего финансового года, однако эти изменения возникают не вследствие допущений или иных источников неопределенности расчетных оценок на отчетную дату).</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120          Информация, раскрытие которой предусмотрено пунктом 116, представляется таким образом, чтобы помочь пользователям финансовой отчетности понять профессиональные суждения руководства о будущем и о прочих основных источниках неопределенности расчетных оценок. Характер и объем предоставляемой информации зависит от характера допущений и прочих обстоятельств. Примерами видов раскрываемой информации являются:</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(a)           характер допущения или иной неопределенности расчетных оценок;</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(b)           чувствительность балансовой стоимости к методам, допущениям и расчетным оценкам, на которых основывается ее расчет, включая причины чувствительности;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(c)           ожидания в отношении разрешения неопределенности и диапазон вариантов разрешения неопределенности, которые, по разумным оценкам, могут иметь место в следующем финансовом году применительно к балансовой стоимости соответствующих активов и обязательств; 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(d)           объяснение изменений, внесенных в прошлые допущения, касающиеся этих активов и обязательств, если неопределенность остается неразрешенной.</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121          При раскрытии информации, предусмотренном пунктом 116, нет необходимости раскрывать информацию о бюджете или прогнозных оценках.</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122          Если практически невозможно раскрыть информацию о размерах возможного воздействия какого-либо из основных допущений или других источников неопределенности расчетных оценок на отчетную дату, то предприятие при раскрытии информации указывает, что, исходя из имеющихся знаний, существует обоснованная возможность того, что варианты разрешения неопределенности в следующем финансовом году, отличающиеся от сделанных допущений, могут потребовать существенной корректировки балансовой стоимости соответствующего актива или обязательства. Во всех случаях предприятие раскрывает характер и балансовую стоимость конкретного актива или обязательства (или вида активов или обязательств), затронутого допущением.</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123          Предусмотренное пунктом 113 раскрытие информации о конкретных профессиональных суждениях руководства, сформированных в ходе применения учетной политики предприятия, не связано с раскрытием информации об основных источниках неопределенности расчетных оценок в соответствии с пунктом 116.</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xml:space="preserve">124          Другие стандарты требуют раскрытия информации о некоторых основных допущениях, которое в противном случае потребовалось бы в соответствии с пунктом 116. Например, МСФО (IAS) 37 при определенных обстоятельствах требует раскрытия информации об основных допущениях, касающихся будущих событий, которые оказывают воздействие на различные виды оценочных резервов. МСФО (IFRS) 7 требует раскрытия информации о значительных допущениях, применяемых при выполнении расчетной </w:t>
            </w:r>
            <w:r w:rsidRPr="00771819">
              <w:rPr>
                <w:rFonts w:ascii="Times New Roman" w:eastAsia="Times New Roman" w:hAnsi="Times New Roman" w:cs="Times New Roman"/>
                <w:color w:val="626262"/>
                <w:sz w:val="20"/>
                <w:szCs w:val="20"/>
              </w:rPr>
              <w:lastRenderedPageBreak/>
              <w:t>оценки справедливой стоимости финансовых активов и финансовых обязательств, подлежащих учету по справедливой стоимости. МСФО (IAS) 16 требует раскрытия информации о значительных допущениях, применяемых при выполнении расчетной оценки справедливой стоимости объектов основных средств, подлежащих переоценке.</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b/>
                <w:bCs/>
                <w:color w:val="626262"/>
                <w:sz w:val="20"/>
              </w:rPr>
              <w:t>Капитал</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124A      Предприятие должно раскрывать информацию, позволяющую пользователям финансовой отчетности оценивать цели, политику и процессы предприятия в области управления капиталом.</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124B       Для соблюдения пункта 124A предприятие раскрывает следующую информацию:</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(a)           качественная информация о целях, политике и процессах предприятия в области управления капитала, включая (помимо прочего) следующее:</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(i)            описание того, что предприятие считает предметом управления капиталом;</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(ii)           если предприятие подчиняется внешним требованиям в отношении капитала, характер таких требований и то, как эти требования учитываются при управлении капиталом; 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(iii)          как предприятие выполняет свои задачи в области управления капиталом.</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(b)           совокупные количественные данные, относящиеся к предмету управления капиталом. Некоторые предприятия считают определенные финансовые обязательства (например, некоторые формы субординированного долга) составляющей капитала. Другие предприятия исключают некоторые компоненты собственного капитала (например, компоненты, возникающие в результате хеджирования денежных потоков) из состава капитала.</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(c)           любые изменения в (a) и (b) по сравнению с предыдущим периодом.</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(d)           выполняло ли предприятие в отчетном периоде внешние требования к капиталу, которые оно обязано выполнять.</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(e)           в случае невыполнения предприятием этих внешних требований к капиталу, последствия таких нарушений.</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Раскрытие указанной информации должно быть основано на внутренней информации, предоставляемой старшему руководящему персоналу предприятия.</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124C       Предприятие может управлять капиталом различными способами и подчиняться целому ряду различных требований к капиталу. Например, конгломерат может включать предприятия, которые осуществляют страховую деятельность и банковскую деятельность, и эти предприятия могут работать в нескольких юрисдикциях. Если раскрытие совокупной информации о требованиях к капиталу и о том, каким образом осуществляется управление капиталом, не обеспечивает полезную информацию или искажает понимание капитальных ресурсов предприятия пользователем финансовой отчетности, предприятие должно раскрыть информацию отдельно по каждому требованию к капиталу, которое оно обязано выполнять.</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b/>
                <w:bCs/>
                <w:color w:val="626262"/>
                <w:sz w:val="20"/>
              </w:rPr>
              <w:t>Раскрытие прочей информации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125         В примечаниях к финансовой отчетности предприятие должно раскрыть следующую информацию:</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(a)           сумма дивидендов, предложенных или объявленных до даты утверждения финансовой отчетности, но не признанных в качестве распределения прибыли в пользу владельцев собственного капитала в течение отчетного периода, а также соответствующая сумма в расчете на одну акцию; 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lastRenderedPageBreak/>
              <w:t>(b)           сумма любых непризнанных дивидендов по кумулятивным привилегированным акциям.</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126         Предприятие должно раскрыть следующую информацию, если такие раскрытия еще не были сделаны в каком-либо ином документе, публикуемом вместе с финансовой отчетностью:</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(a)           постоянное место нахождения и организационно-правовая форма предприятия, страна его регистрации и юридический адрес (или основное место ведения хозяйственной деятельности, если оно отличается от юридического адреса);</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(b)           описание характера операций и основных направлений деятельности предприятия; и</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(c)           наименование материнского предприятия и конечного материнского предприятия группы.</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 </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b/>
                <w:bCs/>
                <w:color w:val="626262"/>
                <w:sz w:val="20"/>
              </w:rPr>
              <w:t>Дата вступления в силу</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127         Предприятие должно применять настоящий стандарт для годовых периодов, начинающихся 1 января 2005 г. или после этой даты. Если предприятие применяет настоящий стандарт для периода, начинающегося до 1 января 2005 г., оно должно раскрыть данный факт.</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127A      Если предприятие применяет поправки к МСФО (IAS) 19</w:t>
            </w:r>
            <w:r w:rsidRPr="00771819">
              <w:rPr>
                <w:rFonts w:ascii="Times New Roman" w:eastAsia="Times New Roman" w:hAnsi="Times New Roman" w:cs="Times New Roman"/>
                <w:color w:val="626262"/>
                <w:sz w:val="20"/>
              </w:rPr>
              <w:t> </w:t>
            </w:r>
            <w:r w:rsidRPr="00771819">
              <w:rPr>
                <w:rFonts w:ascii="Times New Roman" w:eastAsia="Times New Roman" w:hAnsi="Times New Roman" w:cs="Times New Roman"/>
                <w:i/>
                <w:iCs/>
                <w:color w:val="626262"/>
                <w:sz w:val="20"/>
              </w:rPr>
              <w:t>«Вознаграждения работникам </w:t>
            </w:r>
            <w:r w:rsidRPr="00771819">
              <w:rPr>
                <w:rFonts w:ascii="Times New Roman" w:eastAsia="Times New Roman" w:hAnsi="Times New Roman" w:cs="Times New Roman"/>
                <w:color w:val="626262"/>
                <w:sz w:val="20"/>
                <w:szCs w:val="20"/>
              </w:rPr>
              <w:t>-</w:t>
            </w:r>
            <w:r w:rsidRPr="00771819">
              <w:rPr>
                <w:rFonts w:ascii="Times New Roman" w:eastAsia="Times New Roman" w:hAnsi="Times New Roman" w:cs="Times New Roman"/>
                <w:i/>
                <w:iCs/>
                <w:color w:val="626262"/>
                <w:sz w:val="20"/>
              </w:rPr>
              <w:t>актуарные прибыли и убытки, совместно управляемые пенсионные планы и раскрытие информации</w:t>
            </w:r>
            <w:r w:rsidRPr="00771819">
              <w:rPr>
                <w:rFonts w:ascii="Times New Roman" w:eastAsia="Times New Roman" w:hAnsi="Times New Roman" w:cs="Times New Roman"/>
                <w:color w:val="626262"/>
                <w:sz w:val="20"/>
                <w:szCs w:val="20"/>
              </w:rPr>
              <w:t>» к более раннему периоду, то указанную поправку следует применять в отношении такого более раннего периода.</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127B      Предприятие должно применять требования пунктов 124A-124C в отношении годовых периодов, начинающихся 1 января 2007 г. или после этой даты.</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Прекращение действия МСФО (IAS) 1 (в редакции 1997 г.)</w:t>
            </w:r>
          </w:p>
          <w:p w:rsidR="00771819" w:rsidRPr="00771819" w:rsidRDefault="00771819" w:rsidP="00771819">
            <w:pPr>
              <w:spacing w:before="100" w:beforeAutospacing="1" w:after="100" w:afterAutospacing="1" w:line="240" w:lineRule="auto"/>
              <w:jc w:val="both"/>
              <w:rPr>
                <w:rFonts w:ascii="Times New Roman" w:eastAsia="Times New Roman" w:hAnsi="Times New Roman" w:cs="Times New Roman"/>
                <w:color w:val="626262"/>
                <w:sz w:val="20"/>
                <w:szCs w:val="20"/>
              </w:rPr>
            </w:pPr>
            <w:r w:rsidRPr="00771819">
              <w:rPr>
                <w:rFonts w:ascii="Times New Roman" w:eastAsia="Times New Roman" w:hAnsi="Times New Roman" w:cs="Times New Roman"/>
                <w:color w:val="626262"/>
                <w:sz w:val="20"/>
                <w:szCs w:val="20"/>
              </w:rPr>
              <w:t>128          Настоящий стандарт заменяет МСФО (IAS) 1</w:t>
            </w:r>
            <w:r w:rsidRPr="00771819">
              <w:rPr>
                <w:rFonts w:ascii="Times New Roman" w:eastAsia="Times New Roman" w:hAnsi="Times New Roman" w:cs="Times New Roman"/>
                <w:color w:val="626262"/>
                <w:sz w:val="20"/>
              </w:rPr>
              <w:t> </w:t>
            </w:r>
            <w:r w:rsidRPr="00771819">
              <w:rPr>
                <w:rFonts w:ascii="Times New Roman" w:eastAsia="Times New Roman" w:hAnsi="Times New Roman" w:cs="Times New Roman"/>
                <w:i/>
                <w:iCs/>
                <w:color w:val="626262"/>
                <w:sz w:val="20"/>
              </w:rPr>
              <w:t>«Представление финансовой отчетности»</w:t>
            </w:r>
            <w:r w:rsidRPr="00771819">
              <w:rPr>
                <w:rFonts w:ascii="Times New Roman" w:eastAsia="Times New Roman" w:hAnsi="Times New Roman" w:cs="Times New Roman"/>
                <w:color w:val="626262"/>
                <w:sz w:val="20"/>
              </w:rPr>
              <w:t> </w:t>
            </w:r>
            <w:r w:rsidRPr="00771819">
              <w:rPr>
                <w:rFonts w:ascii="Times New Roman" w:eastAsia="Times New Roman" w:hAnsi="Times New Roman" w:cs="Times New Roman"/>
                <w:color w:val="626262"/>
                <w:sz w:val="20"/>
                <w:szCs w:val="20"/>
              </w:rPr>
              <w:t>в редакции 1997 г.</w:t>
            </w:r>
          </w:p>
        </w:tc>
      </w:tr>
    </w:tbl>
    <w:p w:rsidR="006F6E52" w:rsidRPr="00771819" w:rsidRDefault="006F6E52" w:rsidP="00771819"/>
    <w:sectPr w:rsidR="006F6E52" w:rsidRPr="00771819" w:rsidSect="00167F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E574A"/>
    <w:multiLevelType w:val="multilevel"/>
    <w:tmpl w:val="E654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2948B2"/>
    <w:multiLevelType w:val="multilevel"/>
    <w:tmpl w:val="4CE4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87078C"/>
    <w:multiLevelType w:val="multilevel"/>
    <w:tmpl w:val="8A14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90AB4"/>
    <w:rsid w:val="00040C5C"/>
    <w:rsid w:val="00042C63"/>
    <w:rsid w:val="000477BD"/>
    <w:rsid w:val="000B58FA"/>
    <w:rsid w:val="00101A1B"/>
    <w:rsid w:val="001618FB"/>
    <w:rsid w:val="00162B21"/>
    <w:rsid w:val="00167FB4"/>
    <w:rsid w:val="00175766"/>
    <w:rsid w:val="001A6745"/>
    <w:rsid w:val="001B6F9E"/>
    <w:rsid w:val="002A1B80"/>
    <w:rsid w:val="002E64BF"/>
    <w:rsid w:val="00337CBE"/>
    <w:rsid w:val="003C1D53"/>
    <w:rsid w:val="003F7CF0"/>
    <w:rsid w:val="00414E79"/>
    <w:rsid w:val="004626DC"/>
    <w:rsid w:val="00490AB4"/>
    <w:rsid w:val="00537F30"/>
    <w:rsid w:val="005775F0"/>
    <w:rsid w:val="005A2751"/>
    <w:rsid w:val="005F6A19"/>
    <w:rsid w:val="006638C2"/>
    <w:rsid w:val="00676BE7"/>
    <w:rsid w:val="006B156C"/>
    <w:rsid w:val="006C2C0F"/>
    <w:rsid w:val="006F6E52"/>
    <w:rsid w:val="007159E7"/>
    <w:rsid w:val="00721B96"/>
    <w:rsid w:val="0074542A"/>
    <w:rsid w:val="00753C9F"/>
    <w:rsid w:val="00765F40"/>
    <w:rsid w:val="00771819"/>
    <w:rsid w:val="00776F68"/>
    <w:rsid w:val="007F5E73"/>
    <w:rsid w:val="008F3FEC"/>
    <w:rsid w:val="00954074"/>
    <w:rsid w:val="00997004"/>
    <w:rsid w:val="00997D6E"/>
    <w:rsid w:val="009C2EE4"/>
    <w:rsid w:val="009C380E"/>
    <w:rsid w:val="00A168AB"/>
    <w:rsid w:val="00A75612"/>
    <w:rsid w:val="00A97BB2"/>
    <w:rsid w:val="00AB0337"/>
    <w:rsid w:val="00AE7E73"/>
    <w:rsid w:val="00B944CD"/>
    <w:rsid w:val="00BB1376"/>
    <w:rsid w:val="00BE288D"/>
    <w:rsid w:val="00C54A8E"/>
    <w:rsid w:val="00CA5F5B"/>
    <w:rsid w:val="00D120B3"/>
    <w:rsid w:val="00D15D53"/>
    <w:rsid w:val="00D4347A"/>
    <w:rsid w:val="00D800B6"/>
    <w:rsid w:val="00DA7B9C"/>
    <w:rsid w:val="00DB1249"/>
    <w:rsid w:val="00DE1370"/>
    <w:rsid w:val="00E75E7B"/>
    <w:rsid w:val="00E96763"/>
    <w:rsid w:val="00EC139C"/>
    <w:rsid w:val="00EF3489"/>
    <w:rsid w:val="00EF7C7F"/>
    <w:rsid w:val="00F451D9"/>
    <w:rsid w:val="00F46ED2"/>
    <w:rsid w:val="00F8493B"/>
    <w:rsid w:val="00FA5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B4"/>
  </w:style>
  <w:style w:type="paragraph" w:styleId="4">
    <w:name w:val="heading 4"/>
    <w:basedOn w:val="a"/>
    <w:link w:val="40"/>
    <w:uiPriority w:val="9"/>
    <w:qFormat/>
    <w:rsid w:val="00AB03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490AB4"/>
  </w:style>
  <w:style w:type="paragraph" w:styleId="a3">
    <w:name w:val="Normal (Web)"/>
    <w:basedOn w:val="a"/>
    <w:uiPriority w:val="99"/>
    <w:unhideWhenUsed/>
    <w:rsid w:val="00490A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90AB4"/>
    <w:rPr>
      <w:b/>
      <w:bCs/>
    </w:rPr>
  </w:style>
  <w:style w:type="character" w:customStyle="1" w:styleId="40">
    <w:name w:val="Заголовок 4 Знак"/>
    <w:basedOn w:val="a0"/>
    <w:link w:val="4"/>
    <w:uiPriority w:val="9"/>
    <w:rsid w:val="00AB0337"/>
    <w:rPr>
      <w:rFonts w:ascii="Times New Roman" w:eastAsia="Times New Roman" w:hAnsi="Times New Roman" w:cs="Times New Roman"/>
      <w:b/>
      <w:bCs/>
      <w:sz w:val="24"/>
      <w:szCs w:val="24"/>
    </w:rPr>
  </w:style>
  <w:style w:type="character" w:customStyle="1" w:styleId="apple-converted-space">
    <w:name w:val="apple-converted-space"/>
    <w:basedOn w:val="a0"/>
    <w:rsid w:val="00AB0337"/>
  </w:style>
  <w:style w:type="character" w:styleId="a5">
    <w:name w:val="Emphasis"/>
    <w:basedOn w:val="a0"/>
    <w:uiPriority w:val="20"/>
    <w:qFormat/>
    <w:rsid w:val="00AB0337"/>
    <w:rPr>
      <w:i/>
      <w:iCs/>
    </w:rPr>
  </w:style>
  <w:style w:type="character" w:styleId="a6">
    <w:name w:val="Hyperlink"/>
    <w:basedOn w:val="a0"/>
    <w:uiPriority w:val="99"/>
    <w:semiHidden/>
    <w:unhideWhenUsed/>
    <w:rsid w:val="00AB0337"/>
    <w:rPr>
      <w:color w:val="0000FF"/>
      <w:u w:val="single"/>
    </w:rPr>
  </w:style>
  <w:style w:type="paragraph" w:customStyle="1" w:styleId="kurstext">
    <w:name w:val="kurs_text"/>
    <w:basedOn w:val="a"/>
    <w:rsid w:val="00AB033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BB1376"/>
    <w:rPr>
      <w:color w:val="800080"/>
      <w:u w:val="single"/>
    </w:rPr>
  </w:style>
  <w:style w:type="paragraph" w:styleId="a8">
    <w:name w:val="Balloon Text"/>
    <w:basedOn w:val="a"/>
    <w:link w:val="a9"/>
    <w:uiPriority w:val="99"/>
    <w:semiHidden/>
    <w:unhideWhenUsed/>
    <w:rsid w:val="00BB13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13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7337">
      <w:bodyDiv w:val="1"/>
      <w:marLeft w:val="0"/>
      <w:marRight w:val="0"/>
      <w:marTop w:val="0"/>
      <w:marBottom w:val="0"/>
      <w:divBdr>
        <w:top w:val="none" w:sz="0" w:space="0" w:color="auto"/>
        <w:left w:val="none" w:sz="0" w:space="0" w:color="auto"/>
        <w:bottom w:val="none" w:sz="0" w:space="0" w:color="auto"/>
        <w:right w:val="none" w:sz="0" w:space="0" w:color="auto"/>
      </w:divBdr>
      <w:divsChild>
        <w:div w:id="2044361921">
          <w:marLeft w:val="0"/>
          <w:marRight w:val="0"/>
          <w:marTop w:val="0"/>
          <w:marBottom w:val="0"/>
          <w:divBdr>
            <w:top w:val="none" w:sz="0" w:space="0" w:color="auto"/>
            <w:left w:val="none" w:sz="0" w:space="0" w:color="auto"/>
            <w:bottom w:val="none" w:sz="0" w:space="0" w:color="auto"/>
            <w:right w:val="none" w:sz="0" w:space="0" w:color="auto"/>
          </w:divBdr>
        </w:div>
        <w:div w:id="563561310">
          <w:marLeft w:val="0"/>
          <w:marRight w:val="0"/>
          <w:marTop w:val="0"/>
          <w:marBottom w:val="0"/>
          <w:divBdr>
            <w:top w:val="none" w:sz="0" w:space="0" w:color="auto"/>
            <w:left w:val="none" w:sz="0" w:space="0" w:color="auto"/>
            <w:bottom w:val="none" w:sz="0" w:space="0" w:color="auto"/>
            <w:right w:val="none" w:sz="0" w:space="0" w:color="auto"/>
          </w:divBdr>
        </w:div>
      </w:divsChild>
    </w:div>
    <w:div w:id="232660568">
      <w:bodyDiv w:val="1"/>
      <w:marLeft w:val="0"/>
      <w:marRight w:val="0"/>
      <w:marTop w:val="0"/>
      <w:marBottom w:val="0"/>
      <w:divBdr>
        <w:top w:val="none" w:sz="0" w:space="0" w:color="auto"/>
        <w:left w:val="none" w:sz="0" w:space="0" w:color="auto"/>
        <w:bottom w:val="none" w:sz="0" w:space="0" w:color="auto"/>
        <w:right w:val="none" w:sz="0" w:space="0" w:color="auto"/>
      </w:divBdr>
      <w:divsChild>
        <w:div w:id="1044795623">
          <w:marLeft w:val="0"/>
          <w:marRight w:val="0"/>
          <w:marTop w:val="0"/>
          <w:marBottom w:val="0"/>
          <w:divBdr>
            <w:top w:val="none" w:sz="0" w:space="0" w:color="auto"/>
            <w:left w:val="none" w:sz="0" w:space="0" w:color="auto"/>
            <w:bottom w:val="none" w:sz="0" w:space="0" w:color="auto"/>
            <w:right w:val="none" w:sz="0" w:space="0" w:color="auto"/>
          </w:divBdr>
        </w:div>
        <w:div w:id="1599483143">
          <w:marLeft w:val="0"/>
          <w:marRight w:val="0"/>
          <w:marTop w:val="0"/>
          <w:marBottom w:val="0"/>
          <w:divBdr>
            <w:top w:val="none" w:sz="0" w:space="0" w:color="auto"/>
            <w:left w:val="none" w:sz="0" w:space="0" w:color="auto"/>
            <w:bottom w:val="none" w:sz="0" w:space="0" w:color="auto"/>
            <w:right w:val="none" w:sz="0" w:space="0" w:color="auto"/>
          </w:divBdr>
        </w:div>
      </w:divsChild>
    </w:div>
    <w:div w:id="257102440">
      <w:bodyDiv w:val="1"/>
      <w:marLeft w:val="0"/>
      <w:marRight w:val="0"/>
      <w:marTop w:val="0"/>
      <w:marBottom w:val="0"/>
      <w:divBdr>
        <w:top w:val="none" w:sz="0" w:space="0" w:color="auto"/>
        <w:left w:val="none" w:sz="0" w:space="0" w:color="auto"/>
        <w:bottom w:val="none" w:sz="0" w:space="0" w:color="auto"/>
        <w:right w:val="none" w:sz="0" w:space="0" w:color="auto"/>
      </w:divBdr>
      <w:divsChild>
        <w:div w:id="1593976420">
          <w:marLeft w:val="0"/>
          <w:marRight w:val="0"/>
          <w:marTop w:val="0"/>
          <w:marBottom w:val="0"/>
          <w:divBdr>
            <w:top w:val="none" w:sz="0" w:space="0" w:color="auto"/>
            <w:left w:val="none" w:sz="0" w:space="0" w:color="auto"/>
            <w:bottom w:val="none" w:sz="0" w:space="0" w:color="auto"/>
            <w:right w:val="none" w:sz="0" w:space="0" w:color="auto"/>
          </w:divBdr>
        </w:div>
        <w:div w:id="1585645896">
          <w:marLeft w:val="0"/>
          <w:marRight w:val="0"/>
          <w:marTop w:val="0"/>
          <w:marBottom w:val="0"/>
          <w:divBdr>
            <w:top w:val="none" w:sz="0" w:space="0" w:color="auto"/>
            <w:left w:val="none" w:sz="0" w:space="0" w:color="auto"/>
            <w:bottom w:val="none" w:sz="0" w:space="0" w:color="auto"/>
            <w:right w:val="none" w:sz="0" w:space="0" w:color="auto"/>
          </w:divBdr>
        </w:div>
      </w:divsChild>
    </w:div>
    <w:div w:id="278100522">
      <w:bodyDiv w:val="1"/>
      <w:marLeft w:val="0"/>
      <w:marRight w:val="0"/>
      <w:marTop w:val="0"/>
      <w:marBottom w:val="0"/>
      <w:divBdr>
        <w:top w:val="none" w:sz="0" w:space="0" w:color="auto"/>
        <w:left w:val="none" w:sz="0" w:space="0" w:color="auto"/>
        <w:bottom w:val="none" w:sz="0" w:space="0" w:color="auto"/>
        <w:right w:val="none" w:sz="0" w:space="0" w:color="auto"/>
      </w:divBdr>
      <w:divsChild>
        <w:div w:id="451824330">
          <w:marLeft w:val="0"/>
          <w:marRight w:val="0"/>
          <w:marTop w:val="0"/>
          <w:marBottom w:val="0"/>
          <w:divBdr>
            <w:top w:val="none" w:sz="0" w:space="0" w:color="auto"/>
            <w:left w:val="none" w:sz="0" w:space="0" w:color="auto"/>
            <w:bottom w:val="none" w:sz="0" w:space="0" w:color="auto"/>
            <w:right w:val="none" w:sz="0" w:space="0" w:color="auto"/>
          </w:divBdr>
        </w:div>
        <w:div w:id="1079672785">
          <w:marLeft w:val="0"/>
          <w:marRight w:val="0"/>
          <w:marTop w:val="0"/>
          <w:marBottom w:val="0"/>
          <w:divBdr>
            <w:top w:val="none" w:sz="0" w:space="0" w:color="auto"/>
            <w:left w:val="none" w:sz="0" w:space="0" w:color="auto"/>
            <w:bottom w:val="none" w:sz="0" w:space="0" w:color="auto"/>
            <w:right w:val="none" w:sz="0" w:space="0" w:color="auto"/>
          </w:divBdr>
        </w:div>
      </w:divsChild>
    </w:div>
    <w:div w:id="313412891">
      <w:bodyDiv w:val="1"/>
      <w:marLeft w:val="0"/>
      <w:marRight w:val="0"/>
      <w:marTop w:val="0"/>
      <w:marBottom w:val="0"/>
      <w:divBdr>
        <w:top w:val="none" w:sz="0" w:space="0" w:color="auto"/>
        <w:left w:val="none" w:sz="0" w:space="0" w:color="auto"/>
        <w:bottom w:val="none" w:sz="0" w:space="0" w:color="auto"/>
        <w:right w:val="none" w:sz="0" w:space="0" w:color="auto"/>
      </w:divBdr>
      <w:divsChild>
        <w:div w:id="1241791396">
          <w:marLeft w:val="0"/>
          <w:marRight w:val="0"/>
          <w:marTop w:val="0"/>
          <w:marBottom w:val="0"/>
          <w:divBdr>
            <w:top w:val="none" w:sz="0" w:space="0" w:color="auto"/>
            <w:left w:val="none" w:sz="0" w:space="0" w:color="auto"/>
            <w:bottom w:val="none" w:sz="0" w:space="0" w:color="auto"/>
            <w:right w:val="none" w:sz="0" w:space="0" w:color="auto"/>
          </w:divBdr>
        </w:div>
        <w:div w:id="684135666">
          <w:marLeft w:val="0"/>
          <w:marRight w:val="0"/>
          <w:marTop w:val="0"/>
          <w:marBottom w:val="0"/>
          <w:divBdr>
            <w:top w:val="none" w:sz="0" w:space="0" w:color="auto"/>
            <w:left w:val="none" w:sz="0" w:space="0" w:color="auto"/>
            <w:bottom w:val="none" w:sz="0" w:space="0" w:color="auto"/>
            <w:right w:val="none" w:sz="0" w:space="0" w:color="auto"/>
          </w:divBdr>
        </w:div>
      </w:divsChild>
    </w:div>
    <w:div w:id="316226066">
      <w:bodyDiv w:val="1"/>
      <w:marLeft w:val="0"/>
      <w:marRight w:val="0"/>
      <w:marTop w:val="0"/>
      <w:marBottom w:val="0"/>
      <w:divBdr>
        <w:top w:val="none" w:sz="0" w:space="0" w:color="auto"/>
        <w:left w:val="none" w:sz="0" w:space="0" w:color="auto"/>
        <w:bottom w:val="none" w:sz="0" w:space="0" w:color="auto"/>
        <w:right w:val="none" w:sz="0" w:space="0" w:color="auto"/>
      </w:divBdr>
      <w:divsChild>
        <w:div w:id="1296452717">
          <w:marLeft w:val="0"/>
          <w:marRight w:val="0"/>
          <w:marTop w:val="0"/>
          <w:marBottom w:val="0"/>
          <w:divBdr>
            <w:top w:val="none" w:sz="0" w:space="0" w:color="auto"/>
            <w:left w:val="none" w:sz="0" w:space="0" w:color="auto"/>
            <w:bottom w:val="none" w:sz="0" w:space="0" w:color="auto"/>
            <w:right w:val="none" w:sz="0" w:space="0" w:color="auto"/>
          </w:divBdr>
        </w:div>
        <w:div w:id="250509294">
          <w:marLeft w:val="0"/>
          <w:marRight w:val="0"/>
          <w:marTop w:val="0"/>
          <w:marBottom w:val="0"/>
          <w:divBdr>
            <w:top w:val="none" w:sz="0" w:space="0" w:color="auto"/>
            <w:left w:val="none" w:sz="0" w:space="0" w:color="auto"/>
            <w:bottom w:val="none" w:sz="0" w:space="0" w:color="auto"/>
            <w:right w:val="none" w:sz="0" w:space="0" w:color="auto"/>
          </w:divBdr>
        </w:div>
      </w:divsChild>
    </w:div>
    <w:div w:id="429352164">
      <w:bodyDiv w:val="1"/>
      <w:marLeft w:val="0"/>
      <w:marRight w:val="0"/>
      <w:marTop w:val="0"/>
      <w:marBottom w:val="0"/>
      <w:divBdr>
        <w:top w:val="none" w:sz="0" w:space="0" w:color="auto"/>
        <w:left w:val="none" w:sz="0" w:space="0" w:color="auto"/>
        <w:bottom w:val="none" w:sz="0" w:space="0" w:color="auto"/>
        <w:right w:val="none" w:sz="0" w:space="0" w:color="auto"/>
      </w:divBdr>
      <w:divsChild>
        <w:div w:id="1598292487">
          <w:marLeft w:val="0"/>
          <w:marRight w:val="0"/>
          <w:marTop w:val="0"/>
          <w:marBottom w:val="0"/>
          <w:divBdr>
            <w:top w:val="none" w:sz="0" w:space="0" w:color="auto"/>
            <w:left w:val="none" w:sz="0" w:space="0" w:color="auto"/>
            <w:bottom w:val="none" w:sz="0" w:space="0" w:color="auto"/>
            <w:right w:val="none" w:sz="0" w:space="0" w:color="auto"/>
          </w:divBdr>
        </w:div>
        <w:div w:id="1346902705">
          <w:marLeft w:val="0"/>
          <w:marRight w:val="0"/>
          <w:marTop w:val="0"/>
          <w:marBottom w:val="0"/>
          <w:divBdr>
            <w:top w:val="none" w:sz="0" w:space="0" w:color="auto"/>
            <w:left w:val="none" w:sz="0" w:space="0" w:color="auto"/>
            <w:bottom w:val="none" w:sz="0" w:space="0" w:color="auto"/>
            <w:right w:val="none" w:sz="0" w:space="0" w:color="auto"/>
          </w:divBdr>
        </w:div>
      </w:divsChild>
    </w:div>
    <w:div w:id="460735646">
      <w:bodyDiv w:val="1"/>
      <w:marLeft w:val="0"/>
      <w:marRight w:val="0"/>
      <w:marTop w:val="0"/>
      <w:marBottom w:val="0"/>
      <w:divBdr>
        <w:top w:val="none" w:sz="0" w:space="0" w:color="auto"/>
        <w:left w:val="none" w:sz="0" w:space="0" w:color="auto"/>
        <w:bottom w:val="none" w:sz="0" w:space="0" w:color="auto"/>
        <w:right w:val="none" w:sz="0" w:space="0" w:color="auto"/>
      </w:divBdr>
      <w:divsChild>
        <w:div w:id="1691178001">
          <w:marLeft w:val="0"/>
          <w:marRight w:val="0"/>
          <w:marTop w:val="0"/>
          <w:marBottom w:val="0"/>
          <w:divBdr>
            <w:top w:val="none" w:sz="0" w:space="0" w:color="auto"/>
            <w:left w:val="none" w:sz="0" w:space="0" w:color="auto"/>
            <w:bottom w:val="none" w:sz="0" w:space="0" w:color="auto"/>
            <w:right w:val="none" w:sz="0" w:space="0" w:color="auto"/>
          </w:divBdr>
        </w:div>
        <w:div w:id="898444589">
          <w:marLeft w:val="0"/>
          <w:marRight w:val="0"/>
          <w:marTop w:val="0"/>
          <w:marBottom w:val="0"/>
          <w:divBdr>
            <w:top w:val="none" w:sz="0" w:space="0" w:color="auto"/>
            <w:left w:val="none" w:sz="0" w:space="0" w:color="auto"/>
            <w:bottom w:val="none" w:sz="0" w:space="0" w:color="auto"/>
            <w:right w:val="none" w:sz="0" w:space="0" w:color="auto"/>
          </w:divBdr>
        </w:div>
      </w:divsChild>
    </w:div>
    <w:div w:id="565338408">
      <w:bodyDiv w:val="1"/>
      <w:marLeft w:val="0"/>
      <w:marRight w:val="0"/>
      <w:marTop w:val="0"/>
      <w:marBottom w:val="0"/>
      <w:divBdr>
        <w:top w:val="none" w:sz="0" w:space="0" w:color="auto"/>
        <w:left w:val="none" w:sz="0" w:space="0" w:color="auto"/>
        <w:bottom w:val="none" w:sz="0" w:space="0" w:color="auto"/>
        <w:right w:val="none" w:sz="0" w:space="0" w:color="auto"/>
      </w:divBdr>
      <w:divsChild>
        <w:div w:id="1906917514">
          <w:marLeft w:val="0"/>
          <w:marRight w:val="0"/>
          <w:marTop w:val="0"/>
          <w:marBottom w:val="0"/>
          <w:divBdr>
            <w:top w:val="none" w:sz="0" w:space="0" w:color="auto"/>
            <w:left w:val="none" w:sz="0" w:space="0" w:color="auto"/>
            <w:bottom w:val="none" w:sz="0" w:space="0" w:color="auto"/>
            <w:right w:val="none" w:sz="0" w:space="0" w:color="auto"/>
          </w:divBdr>
        </w:div>
        <w:div w:id="128015050">
          <w:marLeft w:val="0"/>
          <w:marRight w:val="0"/>
          <w:marTop w:val="0"/>
          <w:marBottom w:val="0"/>
          <w:divBdr>
            <w:top w:val="none" w:sz="0" w:space="0" w:color="auto"/>
            <w:left w:val="none" w:sz="0" w:space="0" w:color="auto"/>
            <w:bottom w:val="none" w:sz="0" w:space="0" w:color="auto"/>
            <w:right w:val="none" w:sz="0" w:space="0" w:color="auto"/>
          </w:divBdr>
        </w:div>
      </w:divsChild>
    </w:div>
    <w:div w:id="676231909">
      <w:bodyDiv w:val="1"/>
      <w:marLeft w:val="0"/>
      <w:marRight w:val="0"/>
      <w:marTop w:val="0"/>
      <w:marBottom w:val="0"/>
      <w:divBdr>
        <w:top w:val="none" w:sz="0" w:space="0" w:color="auto"/>
        <w:left w:val="none" w:sz="0" w:space="0" w:color="auto"/>
        <w:bottom w:val="none" w:sz="0" w:space="0" w:color="auto"/>
        <w:right w:val="none" w:sz="0" w:space="0" w:color="auto"/>
      </w:divBdr>
      <w:divsChild>
        <w:div w:id="58289943">
          <w:marLeft w:val="0"/>
          <w:marRight w:val="0"/>
          <w:marTop w:val="0"/>
          <w:marBottom w:val="0"/>
          <w:divBdr>
            <w:top w:val="none" w:sz="0" w:space="0" w:color="auto"/>
            <w:left w:val="none" w:sz="0" w:space="0" w:color="auto"/>
            <w:bottom w:val="none" w:sz="0" w:space="0" w:color="auto"/>
            <w:right w:val="none" w:sz="0" w:space="0" w:color="auto"/>
          </w:divBdr>
        </w:div>
        <w:div w:id="1558666341">
          <w:marLeft w:val="0"/>
          <w:marRight w:val="0"/>
          <w:marTop w:val="0"/>
          <w:marBottom w:val="0"/>
          <w:divBdr>
            <w:top w:val="none" w:sz="0" w:space="0" w:color="auto"/>
            <w:left w:val="none" w:sz="0" w:space="0" w:color="auto"/>
            <w:bottom w:val="none" w:sz="0" w:space="0" w:color="auto"/>
            <w:right w:val="none" w:sz="0" w:space="0" w:color="auto"/>
          </w:divBdr>
        </w:div>
      </w:divsChild>
    </w:div>
    <w:div w:id="707336779">
      <w:bodyDiv w:val="1"/>
      <w:marLeft w:val="0"/>
      <w:marRight w:val="0"/>
      <w:marTop w:val="0"/>
      <w:marBottom w:val="0"/>
      <w:divBdr>
        <w:top w:val="none" w:sz="0" w:space="0" w:color="auto"/>
        <w:left w:val="none" w:sz="0" w:space="0" w:color="auto"/>
        <w:bottom w:val="none" w:sz="0" w:space="0" w:color="auto"/>
        <w:right w:val="none" w:sz="0" w:space="0" w:color="auto"/>
      </w:divBdr>
      <w:divsChild>
        <w:div w:id="889727381">
          <w:marLeft w:val="0"/>
          <w:marRight w:val="0"/>
          <w:marTop w:val="0"/>
          <w:marBottom w:val="0"/>
          <w:divBdr>
            <w:top w:val="none" w:sz="0" w:space="0" w:color="auto"/>
            <w:left w:val="none" w:sz="0" w:space="0" w:color="auto"/>
            <w:bottom w:val="none" w:sz="0" w:space="0" w:color="auto"/>
            <w:right w:val="none" w:sz="0" w:space="0" w:color="auto"/>
          </w:divBdr>
        </w:div>
        <w:div w:id="936013716">
          <w:marLeft w:val="0"/>
          <w:marRight w:val="0"/>
          <w:marTop w:val="0"/>
          <w:marBottom w:val="0"/>
          <w:divBdr>
            <w:top w:val="none" w:sz="0" w:space="0" w:color="auto"/>
            <w:left w:val="none" w:sz="0" w:space="0" w:color="auto"/>
            <w:bottom w:val="none" w:sz="0" w:space="0" w:color="auto"/>
            <w:right w:val="none" w:sz="0" w:space="0" w:color="auto"/>
          </w:divBdr>
        </w:div>
      </w:divsChild>
    </w:div>
    <w:div w:id="717126435">
      <w:bodyDiv w:val="1"/>
      <w:marLeft w:val="0"/>
      <w:marRight w:val="0"/>
      <w:marTop w:val="0"/>
      <w:marBottom w:val="0"/>
      <w:divBdr>
        <w:top w:val="none" w:sz="0" w:space="0" w:color="auto"/>
        <w:left w:val="none" w:sz="0" w:space="0" w:color="auto"/>
        <w:bottom w:val="none" w:sz="0" w:space="0" w:color="auto"/>
        <w:right w:val="none" w:sz="0" w:space="0" w:color="auto"/>
      </w:divBdr>
      <w:divsChild>
        <w:div w:id="151993699">
          <w:marLeft w:val="0"/>
          <w:marRight w:val="0"/>
          <w:marTop w:val="0"/>
          <w:marBottom w:val="0"/>
          <w:divBdr>
            <w:top w:val="none" w:sz="0" w:space="0" w:color="auto"/>
            <w:left w:val="none" w:sz="0" w:space="0" w:color="auto"/>
            <w:bottom w:val="none" w:sz="0" w:space="0" w:color="auto"/>
            <w:right w:val="none" w:sz="0" w:space="0" w:color="auto"/>
          </w:divBdr>
        </w:div>
        <w:div w:id="152259961">
          <w:marLeft w:val="0"/>
          <w:marRight w:val="0"/>
          <w:marTop w:val="0"/>
          <w:marBottom w:val="0"/>
          <w:divBdr>
            <w:top w:val="none" w:sz="0" w:space="0" w:color="auto"/>
            <w:left w:val="none" w:sz="0" w:space="0" w:color="auto"/>
            <w:bottom w:val="none" w:sz="0" w:space="0" w:color="auto"/>
            <w:right w:val="none" w:sz="0" w:space="0" w:color="auto"/>
          </w:divBdr>
        </w:div>
      </w:divsChild>
    </w:div>
    <w:div w:id="786119192">
      <w:bodyDiv w:val="1"/>
      <w:marLeft w:val="0"/>
      <w:marRight w:val="0"/>
      <w:marTop w:val="0"/>
      <w:marBottom w:val="0"/>
      <w:divBdr>
        <w:top w:val="none" w:sz="0" w:space="0" w:color="auto"/>
        <w:left w:val="none" w:sz="0" w:space="0" w:color="auto"/>
        <w:bottom w:val="none" w:sz="0" w:space="0" w:color="auto"/>
        <w:right w:val="none" w:sz="0" w:space="0" w:color="auto"/>
      </w:divBdr>
      <w:divsChild>
        <w:div w:id="1677808647">
          <w:marLeft w:val="0"/>
          <w:marRight w:val="0"/>
          <w:marTop w:val="0"/>
          <w:marBottom w:val="0"/>
          <w:divBdr>
            <w:top w:val="none" w:sz="0" w:space="0" w:color="auto"/>
            <w:left w:val="none" w:sz="0" w:space="0" w:color="auto"/>
            <w:bottom w:val="none" w:sz="0" w:space="0" w:color="auto"/>
            <w:right w:val="none" w:sz="0" w:space="0" w:color="auto"/>
          </w:divBdr>
        </w:div>
      </w:divsChild>
    </w:div>
    <w:div w:id="805470185">
      <w:bodyDiv w:val="1"/>
      <w:marLeft w:val="0"/>
      <w:marRight w:val="0"/>
      <w:marTop w:val="0"/>
      <w:marBottom w:val="0"/>
      <w:divBdr>
        <w:top w:val="none" w:sz="0" w:space="0" w:color="auto"/>
        <w:left w:val="none" w:sz="0" w:space="0" w:color="auto"/>
        <w:bottom w:val="none" w:sz="0" w:space="0" w:color="auto"/>
        <w:right w:val="none" w:sz="0" w:space="0" w:color="auto"/>
      </w:divBdr>
      <w:divsChild>
        <w:div w:id="999161993">
          <w:marLeft w:val="0"/>
          <w:marRight w:val="0"/>
          <w:marTop w:val="0"/>
          <w:marBottom w:val="0"/>
          <w:divBdr>
            <w:top w:val="none" w:sz="0" w:space="0" w:color="auto"/>
            <w:left w:val="none" w:sz="0" w:space="0" w:color="auto"/>
            <w:bottom w:val="none" w:sz="0" w:space="0" w:color="auto"/>
            <w:right w:val="none" w:sz="0" w:space="0" w:color="auto"/>
          </w:divBdr>
        </w:div>
        <w:div w:id="355430262">
          <w:marLeft w:val="0"/>
          <w:marRight w:val="0"/>
          <w:marTop w:val="0"/>
          <w:marBottom w:val="0"/>
          <w:divBdr>
            <w:top w:val="none" w:sz="0" w:space="0" w:color="auto"/>
            <w:left w:val="none" w:sz="0" w:space="0" w:color="auto"/>
            <w:bottom w:val="none" w:sz="0" w:space="0" w:color="auto"/>
            <w:right w:val="none" w:sz="0" w:space="0" w:color="auto"/>
          </w:divBdr>
        </w:div>
      </w:divsChild>
    </w:div>
    <w:div w:id="857886983">
      <w:bodyDiv w:val="1"/>
      <w:marLeft w:val="0"/>
      <w:marRight w:val="0"/>
      <w:marTop w:val="0"/>
      <w:marBottom w:val="0"/>
      <w:divBdr>
        <w:top w:val="none" w:sz="0" w:space="0" w:color="auto"/>
        <w:left w:val="none" w:sz="0" w:space="0" w:color="auto"/>
        <w:bottom w:val="none" w:sz="0" w:space="0" w:color="auto"/>
        <w:right w:val="none" w:sz="0" w:space="0" w:color="auto"/>
      </w:divBdr>
      <w:divsChild>
        <w:div w:id="769590355">
          <w:marLeft w:val="0"/>
          <w:marRight w:val="0"/>
          <w:marTop w:val="0"/>
          <w:marBottom w:val="0"/>
          <w:divBdr>
            <w:top w:val="none" w:sz="0" w:space="0" w:color="auto"/>
            <w:left w:val="none" w:sz="0" w:space="0" w:color="auto"/>
            <w:bottom w:val="none" w:sz="0" w:space="0" w:color="auto"/>
            <w:right w:val="none" w:sz="0" w:space="0" w:color="auto"/>
          </w:divBdr>
        </w:div>
        <w:div w:id="1655178178">
          <w:marLeft w:val="0"/>
          <w:marRight w:val="0"/>
          <w:marTop w:val="0"/>
          <w:marBottom w:val="0"/>
          <w:divBdr>
            <w:top w:val="none" w:sz="0" w:space="0" w:color="auto"/>
            <w:left w:val="none" w:sz="0" w:space="0" w:color="auto"/>
            <w:bottom w:val="none" w:sz="0" w:space="0" w:color="auto"/>
            <w:right w:val="none" w:sz="0" w:space="0" w:color="auto"/>
          </w:divBdr>
        </w:div>
      </w:divsChild>
    </w:div>
    <w:div w:id="893465780">
      <w:bodyDiv w:val="1"/>
      <w:marLeft w:val="0"/>
      <w:marRight w:val="0"/>
      <w:marTop w:val="0"/>
      <w:marBottom w:val="0"/>
      <w:divBdr>
        <w:top w:val="none" w:sz="0" w:space="0" w:color="auto"/>
        <w:left w:val="none" w:sz="0" w:space="0" w:color="auto"/>
        <w:bottom w:val="none" w:sz="0" w:space="0" w:color="auto"/>
        <w:right w:val="none" w:sz="0" w:space="0" w:color="auto"/>
      </w:divBdr>
      <w:divsChild>
        <w:div w:id="1634024278">
          <w:marLeft w:val="0"/>
          <w:marRight w:val="0"/>
          <w:marTop w:val="0"/>
          <w:marBottom w:val="0"/>
          <w:divBdr>
            <w:top w:val="none" w:sz="0" w:space="0" w:color="auto"/>
            <w:left w:val="none" w:sz="0" w:space="0" w:color="auto"/>
            <w:bottom w:val="none" w:sz="0" w:space="0" w:color="auto"/>
            <w:right w:val="none" w:sz="0" w:space="0" w:color="auto"/>
          </w:divBdr>
        </w:div>
        <w:div w:id="1652980522">
          <w:marLeft w:val="0"/>
          <w:marRight w:val="0"/>
          <w:marTop w:val="0"/>
          <w:marBottom w:val="0"/>
          <w:divBdr>
            <w:top w:val="none" w:sz="0" w:space="0" w:color="auto"/>
            <w:left w:val="none" w:sz="0" w:space="0" w:color="auto"/>
            <w:bottom w:val="none" w:sz="0" w:space="0" w:color="auto"/>
            <w:right w:val="none" w:sz="0" w:space="0" w:color="auto"/>
          </w:divBdr>
        </w:div>
      </w:divsChild>
    </w:div>
    <w:div w:id="967972564">
      <w:bodyDiv w:val="1"/>
      <w:marLeft w:val="0"/>
      <w:marRight w:val="0"/>
      <w:marTop w:val="0"/>
      <w:marBottom w:val="0"/>
      <w:divBdr>
        <w:top w:val="none" w:sz="0" w:space="0" w:color="auto"/>
        <w:left w:val="none" w:sz="0" w:space="0" w:color="auto"/>
        <w:bottom w:val="none" w:sz="0" w:space="0" w:color="auto"/>
        <w:right w:val="none" w:sz="0" w:space="0" w:color="auto"/>
      </w:divBdr>
      <w:divsChild>
        <w:div w:id="1673609035">
          <w:marLeft w:val="0"/>
          <w:marRight w:val="0"/>
          <w:marTop w:val="0"/>
          <w:marBottom w:val="0"/>
          <w:divBdr>
            <w:top w:val="none" w:sz="0" w:space="0" w:color="auto"/>
            <w:left w:val="none" w:sz="0" w:space="0" w:color="auto"/>
            <w:bottom w:val="none" w:sz="0" w:space="0" w:color="auto"/>
            <w:right w:val="none" w:sz="0" w:space="0" w:color="auto"/>
          </w:divBdr>
        </w:div>
        <w:div w:id="1286232455">
          <w:marLeft w:val="0"/>
          <w:marRight w:val="0"/>
          <w:marTop w:val="0"/>
          <w:marBottom w:val="0"/>
          <w:divBdr>
            <w:top w:val="none" w:sz="0" w:space="0" w:color="auto"/>
            <w:left w:val="none" w:sz="0" w:space="0" w:color="auto"/>
            <w:bottom w:val="none" w:sz="0" w:space="0" w:color="auto"/>
            <w:right w:val="none" w:sz="0" w:space="0" w:color="auto"/>
          </w:divBdr>
        </w:div>
      </w:divsChild>
    </w:div>
    <w:div w:id="985819675">
      <w:bodyDiv w:val="1"/>
      <w:marLeft w:val="0"/>
      <w:marRight w:val="0"/>
      <w:marTop w:val="0"/>
      <w:marBottom w:val="0"/>
      <w:divBdr>
        <w:top w:val="none" w:sz="0" w:space="0" w:color="auto"/>
        <w:left w:val="none" w:sz="0" w:space="0" w:color="auto"/>
        <w:bottom w:val="none" w:sz="0" w:space="0" w:color="auto"/>
        <w:right w:val="none" w:sz="0" w:space="0" w:color="auto"/>
      </w:divBdr>
      <w:divsChild>
        <w:div w:id="939216593">
          <w:marLeft w:val="0"/>
          <w:marRight w:val="0"/>
          <w:marTop w:val="0"/>
          <w:marBottom w:val="0"/>
          <w:divBdr>
            <w:top w:val="none" w:sz="0" w:space="0" w:color="auto"/>
            <w:left w:val="none" w:sz="0" w:space="0" w:color="auto"/>
            <w:bottom w:val="none" w:sz="0" w:space="0" w:color="auto"/>
            <w:right w:val="none" w:sz="0" w:space="0" w:color="auto"/>
          </w:divBdr>
        </w:div>
        <w:div w:id="1214925707">
          <w:marLeft w:val="0"/>
          <w:marRight w:val="0"/>
          <w:marTop w:val="0"/>
          <w:marBottom w:val="0"/>
          <w:divBdr>
            <w:top w:val="none" w:sz="0" w:space="0" w:color="auto"/>
            <w:left w:val="none" w:sz="0" w:space="0" w:color="auto"/>
            <w:bottom w:val="none" w:sz="0" w:space="0" w:color="auto"/>
            <w:right w:val="none" w:sz="0" w:space="0" w:color="auto"/>
          </w:divBdr>
        </w:div>
      </w:divsChild>
    </w:div>
    <w:div w:id="1032534981">
      <w:bodyDiv w:val="1"/>
      <w:marLeft w:val="0"/>
      <w:marRight w:val="0"/>
      <w:marTop w:val="0"/>
      <w:marBottom w:val="0"/>
      <w:divBdr>
        <w:top w:val="none" w:sz="0" w:space="0" w:color="auto"/>
        <w:left w:val="none" w:sz="0" w:space="0" w:color="auto"/>
        <w:bottom w:val="none" w:sz="0" w:space="0" w:color="auto"/>
        <w:right w:val="none" w:sz="0" w:space="0" w:color="auto"/>
      </w:divBdr>
      <w:divsChild>
        <w:div w:id="1232886557">
          <w:marLeft w:val="0"/>
          <w:marRight w:val="0"/>
          <w:marTop w:val="0"/>
          <w:marBottom w:val="0"/>
          <w:divBdr>
            <w:top w:val="none" w:sz="0" w:space="0" w:color="auto"/>
            <w:left w:val="none" w:sz="0" w:space="0" w:color="auto"/>
            <w:bottom w:val="none" w:sz="0" w:space="0" w:color="auto"/>
            <w:right w:val="none" w:sz="0" w:space="0" w:color="auto"/>
          </w:divBdr>
        </w:div>
        <w:div w:id="2078898393">
          <w:marLeft w:val="0"/>
          <w:marRight w:val="0"/>
          <w:marTop w:val="0"/>
          <w:marBottom w:val="0"/>
          <w:divBdr>
            <w:top w:val="none" w:sz="0" w:space="0" w:color="auto"/>
            <w:left w:val="none" w:sz="0" w:space="0" w:color="auto"/>
            <w:bottom w:val="none" w:sz="0" w:space="0" w:color="auto"/>
            <w:right w:val="none" w:sz="0" w:space="0" w:color="auto"/>
          </w:divBdr>
        </w:div>
      </w:divsChild>
    </w:div>
    <w:div w:id="1043362033">
      <w:bodyDiv w:val="1"/>
      <w:marLeft w:val="0"/>
      <w:marRight w:val="0"/>
      <w:marTop w:val="0"/>
      <w:marBottom w:val="0"/>
      <w:divBdr>
        <w:top w:val="none" w:sz="0" w:space="0" w:color="auto"/>
        <w:left w:val="none" w:sz="0" w:space="0" w:color="auto"/>
        <w:bottom w:val="none" w:sz="0" w:space="0" w:color="auto"/>
        <w:right w:val="none" w:sz="0" w:space="0" w:color="auto"/>
      </w:divBdr>
      <w:divsChild>
        <w:div w:id="696082941">
          <w:marLeft w:val="0"/>
          <w:marRight w:val="0"/>
          <w:marTop w:val="0"/>
          <w:marBottom w:val="0"/>
          <w:divBdr>
            <w:top w:val="none" w:sz="0" w:space="0" w:color="auto"/>
            <w:left w:val="none" w:sz="0" w:space="0" w:color="auto"/>
            <w:bottom w:val="none" w:sz="0" w:space="0" w:color="auto"/>
            <w:right w:val="none" w:sz="0" w:space="0" w:color="auto"/>
          </w:divBdr>
        </w:div>
        <w:div w:id="1068262682">
          <w:marLeft w:val="0"/>
          <w:marRight w:val="0"/>
          <w:marTop w:val="0"/>
          <w:marBottom w:val="0"/>
          <w:divBdr>
            <w:top w:val="none" w:sz="0" w:space="0" w:color="auto"/>
            <w:left w:val="none" w:sz="0" w:space="0" w:color="auto"/>
            <w:bottom w:val="none" w:sz="0" w:space="0" w:color="auto"/>
            <w:right w:val="none" w:sz="0" w:space="0" w:color="auto"/>
          </w:divBdr>
        </w:div>
      </w:divsChild>
    </w:div>
    <w:div w:id="1062094178">
      <w:bodyDiv w:val="1"/>
      <w:marLeft w:val="0"/>
      <w:marRight w:val="0"/>
      <w:marTop w:val="0"/>
      <w:marBottom w:val="0"/>
      <w:divBdr>
        <w:top w:val="none" w:sz="0" w:space="0" w:color="auto"/>
        <w:left w:val="none" w:sz="0" w:space="0" w:color="auto"/>
        <w:bottom w:val="none" w:sz="0" w:space="0" w:color="auto"/>
        <w:right w:val="none" w:sz="0" w:space="0" w:color="auto"/>
      </w:divBdr>
      <w:divsChild>
        <w:div w:id="1872256506">
          <w:marLeft w:val="0"/>
          <w:marRight w:val="0"/>
          <w:marTop w:val="0"/>
          <w:marBottom w:val="0"/>
          <w:divBdr>
            <w:top w:val="none" w:sz="0" w:space="0" w:color="auto"/>
            <w:left w:val="none" w:sz="0" w:space="0" w:color="auto"/>
            <w:bottom w:val="none" w:sz="0" w:space="0" w:color="auto"/>
            <w:right w:val="none" w:sz="0" w:space="0" w:color="auto"/>
          </w:divBdr>
        </w:div>
        <w:div w:id="1736733269">
          <w:marLeft w:val="0"/>
          <w:marRight w:val="0"/>
          <w:marTop w:val="0"/>
          <w:marBottom w:val="0"/>
          <w:divBdr>
            <w:top w:val="none" w:sz="0" w:space="0" w:color="auto"/>
            <w:left w:val="none" w:sz="0" w:space="0" w:color="auto"/>
            <w:bottom w:val="none" w:sz="0" w:space="0" w:color="auto"/>
            <w:right w:val="none" w:sz="0" w:space="0" w:color="auto"/>
          </w:divBdr>
        </w:div>
      </w:divsChild>
    </w:div>
    <w:div w:id="1308778788">
      <w:bodyDiv w:val="1"/>
      <w:marLeft w:val="0"/>
      <w:marRight w:val="0"/>
      <w:marTop w:val="0"/>
      <w:marBottom w:val="0"/>
      <w:divBdr>
        <w:top w:val="none" w:sz="0" w:space="0" w:color="auto"/>
        <w:left w:val="none" w:sz="0" w:space="0" w:color="auto"/>
        <w:bottom w:val="none" w:sz="0" w:space="0" w:color="auto"/>
        <w:right w:val="none" w:sz="0" w:space="0" w:color="auto"/>
      </w:divBdr>
      <w:divsChild>
        <w:div w:id="1771704669">
          <w:marLeft w:val="0"/>
          <w:marRight w:val="0"/>
          <w:marTop w:val="0"/>
          <w:marBottom w:val="0"/>
          <w:divBdr>
            <w:top w:val="none" w:sz="0" w:space="0" w:color="auto"/>
            <w:left w:val="none" w:sz="0" w:space="0" w:color="auto"/>
            <w:bottom w:val="none" w:sz="0" w:space="0" w:color="auto"/>
            <w:right w:val="none" w:sz="0" w:space="0" w:color="auto"/>
          </w:divBdr>
        </w:div>
        <w:div w:id="381827215">
          <w:marLeft w:val="0"/>
          <w:marRight w:val="0"/>
          <w:marTop w:val="0"/>
          <w:marBottom w:val="0"/>
          <w:divBdr>
            <w:top w:val="none" w:sz="0" w:space="0" w:color="auto"/>
            <w:left w:val="none" w:sz="0" w:space="0" w:color="auto"/>
            <w:bottom w:val="none" w:sz="0" w:space="0" w:color="auto"/>
            <w:right w:val="none" w:sz="0" w:space="0" w:color="auto"/>
          </w:divBdr>
        </w:div>
      </w:divsChild>
    </w:div>
    <w:div w:id="1485974321">
      <w:bodyDiv w:val="1"/>
      <w:marLeft w:val="0"/>
      <w:marRight w:val="0"/>
      <w:marTop w:val="0"/>
      <w:marBottom w:val="0"/>
      <w:divBdr>
        <w:top w:val="none" w:sz="0" w:space="0" w:color="auto"/>
        <w:left w:val="none" w:sz="0" w:space="0" w:color="auto"/>
        <w:bottom w:val="none" w:sz="0" w:space="0" w:color="auto"/>
        <w:right w:val="none" w:sz="0" w:space="0" w:color="auto"/>
      </w:divBdr>
      <w:divsChild>
        <w:div w:id="1675759905">
          <w:marLeft w:val="0"/>
          <w:marRight w:val="0"/>
          <w:marTop w:val="0"/>
          <w:marBottom w:val="0"/>
          <w:divBdr>
            <w:top w:val="none" w:sz="0" w:space="0" w:color="auto"/>
            <w:left w:val="none" w:sz="0" w:space="0" w:color="auto"/>
            <w:bottom w:val="none" w:sz="0" w:space="0" w:color="auto"/>
            <w:right w:val="none" w:sz="0" w:space="0" w:color="auto"/>
          </w:divBdr>
        </w:div>
        <w:div w:id="645469932">
          <w:marLeft w:val="0"/>
          <w:marRight w:val="0"/>
          <w:marTop w:val="0"/>
          <w:marBottom w:val="0"/>
          <w:divBdr>
            <w:top w:val="none" w:sz="0" w:space="0" w:color="auto"/>
            <w:left w:val="none" w:sz="0" w:space="0" w:color="auto"/>
            <w:bottom w:val="none" w:sz="0" w:space="0" w:color="auto"/>
            <w:right w:val="none" w:sz="0" w:space="0" w:color="auto"/>
          </w:divBdr>
        </w:div>
      </w:divsChild>
    </w:div>
    <w:div w:id="1508902753">
      <w:bodyDiv w:val="1"/>
      <w:marLeft w:val="0"/>
      <w:marRight w:val="0"/>
      <w:marTop w:val="0"/>
      <w:marBottom w:val="0"/>
      <w:divBdr>
        <w:top w:val="none" w:sz="0" w:space="0" w:color="auto"/>
        <w:left w:val="none" w:sz="0" w:space="0" w:color="auto"/>
        <w:bottom w:val="none" w:sz="0" w:space="0" w:color="auto"/>
        <w:right w:val="none" w:sz="0" w:space="0" w:color="auto"/>
      </w:divBdr>
      <w:divsChild>
        <w:div w:id="1778869087">
          <w:marLeft w:val="0"/>
          <w:marRight w:val="0"/>
          <w:marTop w:val="0"/>
          <w:marBottom w:val="0"/>
          <w:divBdr>
            <w:top w:val="none" w:sz="0" w:space="0" w:color="auto"/>
            <w:left w:val="none" w:sz="0" w:space="0" w:color="auto"/>
            <w:bottom w:val="none" w:sz="0" w:space="0" w:color="auto"/>
            <w:right w:val="none" w:sz="0" w:space="0" w:color="auto"/>
          </w:divBdr>
        </w:div>
        <w:div w:id="1651053478">
          <w:marLeft w:val="0"/>
          <w:marRight w:val="0"/>
          <w:marTop w:val="0"/>
          <w:marBottom w:val="0"/>
          <w:divBdr>
            <w:top w:val="none" w:sz="0" w:space="0" w:color="auto"/>
            <w:left w:val="none" w:sz="0" w:space="0" w:color="auto"/>
            <w:bottom w:val="none" w:sz="0" w:space="0" w:color="auto"/>
            <w:right w:val="none" w:sz="0" w:space="0" w:color="auto"/>
          </w:divBdr>
        </w:div>
      </w:divsChild>
    </w:div>
    <w:div w:id="1525290810">
      <w:bodyDiv w:val="1"/>
      <w:marLeft w:val="0"/>
      <w:marRight w:val="0"/>
      <w:marTop w:val="0"/>
      <w:marBottom w:val="0"/>
      <w:divBdr>
        <w:top w:val="none" w:sz="0" w:space="0" w:color="auto"/>
        <w:left w:val="none" w:sz="0" w:space="0" w:color="auto"/>
        <w:bottom w:val="none" w:sz="0" w:space="0" w:color="auto"/>
        <w:right w:val="none" w:sz="0" w:space="0" w:color="auto"/>
      </w:divBdr>
      <w:divsChild>
        <w:div w:id="867640971">
          <w:marLeft w:val="0"/>
          <w:marRight w:val="0"/>
          <w:marTop w:val="0"/>
          <w:marBottom w:val="0"/>
          <w:divBdr>
            <w:top w:val="none" w:sz="0" w:space="0" w:color="auto"/>
            <w:left w:val="none" w:sz="0" w:space="0" w:color="auto"/>
            <w:bottom w:val="none" w:sz="0" w:space="0" w:color="auto"/>
            <w:right w:val="none" w:sz="0" w:space="0" w:color="auto"/>
          </w:divBdr>
        </w:div>
        <w:div w:id="1208179337">
          <w:marLeft w:val="0"/>
          <w:marRight w:val="0"/>
          <w:marTop w:val="0"/>
          <w:marBottom w:val="0"/>
          <w:divBdr>
            <w:top w:val="none" w:sz="0" w:space="0" w:color="auto"/>
            <w:left w:val="none" w:sz="0" w:space="0" w:color="auto"/>
            <w:bottom w:val="none" w:sz="0" w:space="0" w:color="auto"/>
            <w:right w:val="none" w:sz="0" w:space="0" w:color="auto"/>
          </w:divBdr>
        </w:div>
      </w:divsChild>
    </w:div>
    <w:div w:id="1537429051">
      <w:bodyDiv w:val="1"/>
      <w:marLeft w:val="0"/>
      <w:marRight w:val="0"/>
      <w:marTop w:val="0"/>
      <w:marBottom w:val="0"/>
      <w:divBdr>
        <w:top w:val="none" w:sz="0" w:space="0" w:color="auto"/>
        <w:left w:val="none" w:sz="0" w:space="0" w:color="auto"/>
        <w:bottom w:val="none" w:sz="0" w:space="0" w:color="auto"/>
        <w:right w:val="none" w:sz="0" w:space="0" w:color="auto"/>
      </w:divBdr>
      <w:divsChild>
        <w:div w:id="64036753">
          <w:marLeft w:val="0"/>
          <w:marRight w:val="0"/>
          <w:marTop w:val="0"/>
          <w:marBottom w:val="0"/>
          <w:divBdr>
            <w:top w:val="none" w:sz="0" w:space="0" w:color="auto"/>
            <w:left w:val="none" w:sz="0" w:space="0" w:color="auto"/>
            <w:bottom w:val="none" w:sz="0" w:space="0" w:color="auto"/>
            <w:right w:val="none" w:sz="0" w:space="0" w:color="auto"/>
          </w:divBdr>
        </w:div>
        <w:div w:id="242223517">
          <w:marLeft w:val="0"/>
          <w:marRight w:val="0"/>
          <w:marTop w:val="0"/>
          <w:marBottom w:val="0"/>
          <w:divBdr>
            <w:top w:val="none" w:sz="0" w:space="0" w:color="auto"/>
            <w:left w:val="none" w:sz="0" w:space="0" w:color="auto"/>
            <w:bottom w:val="none" w:sz="0" w:space="0" w:color="auto"/>
            <w:right w:val="none" w:sz="0" w:space="0" w:color="auto"/>
          </w:divBdr>
        </w:div>
      </w:divsChild>
    </w:div>
    <w:div w:id="1719939795">
      <w:bodyDiv w:val="1"/>
      <w:marLeft w:val="0"/>
      <w:marRight w:val="0"/>
      <w:marTop w:val="0"/>
      <w:marBottom w:val="0"/>
      <w:divBdr>
        <w:top w:val="none" w:sz="0" w:space="0" w:color="auto"/>
        <w:left w:val="none" w:sz="0" w:space="0" w:color="auto"/>
        <w:bottom w:val="none" w:sz="0" w:space="0" w:color="auto"/>
        <w:right w:val="none" w:sz="0" w:space="0" w:color="auto"/>
      </w:divBdr>
      <w:divsChild>
        <w:div w:id="1314682747">
          <w:marLeft w:val="0"/>
          <w:marRight w:val="0"/>
          <w:marTop w:val="0"/>
          <w:marBottom w:val="0"/>
          <w:divBdr>
            <w:top w:val="none" w:sz="0" w:space="0" w:color="auto"/>
            <w:left w:val="none" w:sz="0" w:space="0" w:color="auto"/>
            <w:bottom w:val="none" w:sz="0" w:space="0" w:color="auto"/>
            <w:right w:val="none" w:sz="0" w:space="0" w:color="auto"/>
          </w:divBdr>
        </w:div>
        <w:div w:id="1209755264">
          <w:marLeft w:val="0"/>
          <w:marRight w:val="0"/>
          <w:marTop w:val="0"/>
          <w:marBottom w:val="0"/>
          <w:divBdr>
            <w:top w:val="none" w:sz="0" w:space="0" w:color="auto"/>
            <w:left w:val="none" w:sz="0" w:space="0" w:color="auto"/>
            <w:bottom w:val="none" w:sz="0" w:space="0" w:color="auto"/>
            <w:right w:val="none" w:sz="0" w:space="0" w:color="auto"/>
          </w:divBdr>
        </w:div>
      </w:divsChild>
    </w:div>
    <w:div w:id="1761944777">
      <w:bodyDiv w:val="1"/>
      <w:marLeft w:val="0"/>
      <w:marRight w:val="0"/>
      <w:marTop w:val="0"/>
      <w:marBottom w:val="0"/>
      <w:divBdr>
        <w:top w:val="none" w:sz="0" w:space="0" w:color="auto"/>
        <w:left w:val="none" w:sz="0" w:space="0" w:color="auto"/>
        <w:bottom w:val="none" w:sz="0" w:space="0" w:color="auto"/>
        <w:right w:val="none" w:sz="0" w:space="0" w:color="auto"/>
      </w:divBdr>
      <w:divsChild>
        <w:div w:id="474295094">
          <w:marLeft w:val="0"/>
          <w:marRight w:val="0"/>
          <w:marTop w:val="0"/>
          <w:marBottom w:val="0"/>
          <w:divBdr>
            <w:top w:val="none" w:sz="0" w:space="0" w:color="auto"/>
            <w:left w:val="none" w:sz="0" w:space="0" w:color="auto"/>
            <w:bottom w:val="none" w:sz="0" w:space="0" w:color="auto"/>
            <w:right w:val="none" w:sz="0" w:space="0" w:color="auto"/>
          </w:divBdr>
        </w:div>
        <w:div w:id="1295018017">
          <w:marLeft w:val="0"/>
          <w:marRight w:val="0"/>
          <w:marTop w:val="0"/>
          <w:marBottom w:val="0"/>
          <w:divBdr>
            <w:top w:val="none" w:sz="0" w:space="0" w:color="auto"/>
            <w:left w:val="none" w:sz="0" w:space="0" w:color="auto"/>
            <w:bottom w:val="none" w:sz="0" w:space="0" w:color="auto"/>
            <w:right w:val="none" w:sz="0" w:space="0" w:color="auto"/>
          </w:divBdr>
        </w:div>
      </w:divsChild>
    </w:div>
    <w:div w:id="1787579159">
      <w:bodyDiv w:val="1"/>
      <w:marLeft w:val="0"/>
      <w:marRight w:val="0"/>
      <w:marTop w:val="0"/>
      <w:marBottom w:val="0"/>
      <w:divBdr>
        <w:top w:val="none" w:sz="0" w:space="0" w:color="auto"/>
        <w:left w:val="none" w:sz="0" w:space="0" w:color="auto"/>
        <w:bottom w:val="none" w:sz="0" w:space="0" w:color="auto"/>
        <w:right w:val="none" w:sz="0" w:space="0" w:color="auto"/>
      </w:divBdr>
      <w:divsChild>
        <w:div w:id="243416928">
          <w:marLeft w:val="0"/>
          <w:marRight w:val="0"/>
          <w:marTop w:val="0"/>
          <w:marBottom w:val="0"/>
          <w:divBdr>
            <w:top w:val="none" w:sz="0" w:space="0" w:color="auto"/>
            <w:left w:val="none" w:sz="0" w:space="0" w:color="auto"/>
            <w:bottom w:val="none" w:sz="0" w:space="0" w:color="auto"/>
            <w:right w:val="none" w:sz="0" w:space="0" w:color="auto"/>
          </w:divBdr>
        </w:div>
        <w:div w:id="1636180613">
          <w:marLeft w:val="0"/>
          <w:marRight w:val="0"/>
          <w:marTop w:val="0"/>
          <w:marBottom w:val="0"/>
          <w:divBdr>
            <w:top w:val="none" w:sz="0" w:space="0" w:color="auto"/>
            <w:left w:val="none" w:sz="0" w:space="0" w:color="auto"/>
            <w:bottom w:val="none" w:sz="0" w:space="0" w:color="auto"/>
            <w:right w:val="none" w:sz="0" w:space="0" w:color="auto"/>
          </w:divBdr>
        </w:div>
      </w:divsChild>
    </w:div>
    <w:div w:id="1808275503">
      <w:bodyDiv w:val="1"/>
      <w:marLeft w:val="0"/>
      <w:marRight w:val="0"/>
      <w:marTop w:val="0"/>
      <w:marBottom w:val="0"/>
      <w:divBdr>
        <w:top w:val="none" w:sz="0" w:space="0" w:color="auto"/>
        <w:left w:val="none" w:sz="0" w:space="0" w:color="auto"/>
        <w:bottom w:val="none" w:sz="0" w:space="0" w:color="auto"/>
        <w:right w:val="none" w:sz="0" w:space="0" w:color="auto"/>
      </w:divBdr>
      <w:divsChild>
        <w:div w:id="133180928">
          <w:marLeft w:val="0"/>
          <w:marRight w:val="0"/>
          <w:marTop w:val="0"/>
          <w:marBottom w:val="0"/>
          <w:divBdr>
            <w:top w:val="none" w:sz="0" w:space="0" w:color="auto"/>
            <w:left w:val="none" w:sz="0" w:space="0" w:color="auto"/>
            <w:bottom w:val="none" w:sz="0" w:space="0" w:color="auto"/>
            <w:right w:val="none" w:sz="0" w:space="0" w:color="auto"/>
          </w:divBdr>
        </w:div>
        <w:div w:id="1198203085">
          <w:marLeft w:val="0"/>
          <w:marRight w:val="0"/>
          <w:marTop w:val="0"/>
          <w:marBottom w:val="0"/>
          <w:divBdr>
            <w:top w:val="none" w:sz="0" w:space="0" w:color="auto"/>
            <w:left w:val="none" w:sz="0" w:space="0" w:color="auto"/>
            <w:bottom w:val="none" w:sz="0" w:space="0" w:color="auto"/>
            <w:right w:val="none" w:sz="0" w:space="0" w:color="auto"/>
          </w:divBdr>
        </w:div>
      </w:divsChild>
    </w:div>
    <w:div w:id="1895965753">
      <w:bodyDiv w:val="1"/>
      <w:marLeft w:val="0"/>
      <w:marRight w:val="0"/>
      <w:marTop w:val="0"/>
      <w:marBottom w:val="0"/>
      <w:divBdr>
        <w:top w:val="none" w:sz="0" w:space="0" w:color="auto"/>
        <w:left w:val="none" w:sz="0" w:space="0" w:color="auto"/>
        <w:bottom w:val="none" w:sz="0" w:space="0" w:color="auto"/>
        <w:right w:val="none" w:sz="0" w:space="0" w:color="auto"/>
      </w:divBdr>
      <w:divsChild>
        <w:div w:id="140853242">
          <w:marLeft w:val="0"/>
          <w:marRight w:val="0"/>
          <w:marTop w:val="0"/>
          <w:marBottom w:val="0"/>
          <w:divBdr>
            <w:top w:val="none" w:sz="0" w:space="0" w:color="auto"/>
            <w:left w:val="none" w:sz="0" w:space="0" w:color="auto"/>
            <w:bottom w:val="none" w:sz="0" w:space="0" w:color="auto"/>
            <w:right w:val="none" w:sz="0" w:space="0" w:color="auto"/>
          </w:divBdr>
        </w:div>
        <w:div w:id="1842701138">
          <w:marLeft w:val="0"/>
          <w:marRight w:val="0"/>
          <w:marTop w:val="0"/>
          <w:marBottom w:val="0"/>
          <w:divBdr>
            <w:top w:val="none" w:sz="0" w:space="0" w:color="auto"/>
            <w:left w:val="none" w:sz="0" w:space="0" w:color="auto"/>
            <w:bottom w:val="none" w:sz="0" w:space="0" w:color="auto"/>
            <w:right w:val="none" w:sz="0" w:space="0" w:color="auto"/>
          </w:divBdr>
        </w:div>
      </w:divsChild>
    </w:div>
    <w:div w:id="1901818839">
      <w:bodyDiv w:val="1"/>
      <w:marLeft w:val="0"/>
      <w:marRight w:val="0"/>
      <w:marTop w:val="0"/>
      <w:marBottom w:val="0"/>
      <w:divBdr>
        <w:top w:val="none" w:sz="0" w:space="0" w:color="auto"/>
        <w:left w:val="none" w:sz="0" w:space="0" w:color="auto"/>
        <w:bottom w:val="none" w:sz="0" w:space="0" w:color="auto"/>
        <w:right w:val="none" w:sz="0" w:space="0" w:color="auto"/>
      </w:divBdr>
      <w:divsChild>
        <w:div w:id="1853108616">
          <w:marLeft w:val="0"/>
          <w:marRight w:val="0"/>
          <w:marTop w:val="0"/>
          <w:marBottom w:val="0"/>
          <w:divBdr>
            <w:top w:val="none" w:sz="0" w:space="0" w:color="auto"/>
            <w:left w:val="none" w:sz="0" w:space="0" w:color="auto"/>
            <w:bottom w:val="none" w:sz="0" w:space="0" w:color="auto"/>
            <w:right w:val="none" w:sz="0" w:space="0" w:color="auto"/>
          </w:divBdr>
        </w:div>
        <w:div w:id="851989683">
          <w:marLeft w:val="0"/>
          <w:marRight w:val="0"/>
          <w:marTop w:val="0"/>
          <w:marBottom w:val="0"/>
          <w:divBdr>
            <w:top w:val="none" w:sz="0" w:space="0" w:color="auto"/>
            <w:left w:val="none" w:sz="0" w:space="0" w:color="auto"/>
            <w:bottom w:val="none" w:sz="0" w:space="0" w:color="auto"/>
            <w:right w:val="none" w:sz="0" w:space="0" w:color="auto"/>
          </w:divBdr>
        </w:div>
      </w:divsChild>
    </w:div>
    <w:div w:id="1905682788">
      <w:bodyDiv w:val="1"/>
      <w:marLeft w:val="0"/>
      <w:marRight w:val="0"/>
      <w:marTop w:val="0"/>
      <w:marBottom w:val="0"/>
      <w:divBdr>
        <w:top w:val="none" w:sz="0" w:space="0" w:color="auto"/>
        <w:left w:val="none" w:sz="0" w:space="0" w:color="auto"/>
        <w:bottom w:val="none" w:sz="0" w:space="0" w:color="auto"/>
        <w:right w:val="none" w:sz="0" w:space="0" w:color="auto"/>
      </w:divBdr>
      <w:divsChild>
        <w:div w:id="499003642">
          <w:marLeft w:val="0"/>
          <w:marRight w:val="0"/>
          <w:marTop w:val="0"/>
          <w:marBottom w:val="0"/>
          <w:divBdr>
            <w:top w:val="none" w:sz="0" w:space="0" w:color="auto"/>
            <w:left w:val="none" w:sz="0" w:space="0" w:color="auto"/>
            <w:bottom w:val="none" w:sz="0" w:space="0" w:color="auto"/>
            <w:right w:val="none" w:sz="0" w:space="0" w:color="auto"/>
          </w:divBdr>
        </w:div>
        <w:div w:id="1796175269">
          <w:marLeft w:val="0"/>
          <w:marRight w:val="0"/>
          <w:marTop w:val="0"/>
          <w:marBottom w:val="0"/>
          <w:divBdr>
            <w:top w:val="none" w:sz="0" w:space="0" w:color="auto"/>
            <w:left w:val="none" w:sz="0" w:space="0" w:color="auto"/>
            <w:bottom w:val="none" w:sz="0" w:space="0" w:color="auto"/>
            <w:right w:val="none" w:sz="0" w:space="0" w:color="auto"/>
          </w:divBdr>
        </w:div>
      </w:divsChild>
    </w:div>
    <w:div w:id="1909685570">
      <w:bodyDiv w:val="1"/>
      <w:marLeft w:val="0"/>
      <w:marRight w:val="0"/>
      <w:marTop w:val="0"/>
      <w:marBottom w:val="0"/>
      <w:divBdr>
        <w:top w:val="none" w:sz="0" w:space="0" w:color="auto"/>
        <w:left w:val="none" w:sz="0" w:space="0" w:color="auto"/>
        <w:bottom w:val="none" w:sz="0" w:space="0" w:color="auto"/>
        <w:right w:val="none" w:sz="0" w:space="0" w:color="auto"/>
      </w:divBdr>
      <w:divsChild>
        <w:div w:id="2083212427">
          <w:marLeft w:val="0"/>
          <w:marRight w:val="0"/>
          <w:marTop w:val="0"/>
          <w:marBottom w:val="0"/>
          <w:divBdr>
            <w:top w:val="none" w:sz="0" w:space="0" w:color="auto"/>
            <w:left w:val="none" w:sz="0" w:space="0" w:color="auto"/>
            <w:bottom w:val="none" w:sz="0" w:space="0" w:color="auto"/>
            <w:right w:val="none" w:sz="0" w:space="0" w:color="auto"/>
          </w:divBdr>
        </w:div>
        <w:div w:id="536697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788FF-E839-4228-AC3D-38B1AC3C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24</Pages>
  <Words>11989</Words>
  <Characters>68340</Characters>
  <Application>Microsoft Office Word</Application>
  <DocSecurity>0</DocSecurity>
  <Lines>569</Lines>
  <Paragraphs>160</Paragraphs>
  <ScaleCrop>false</ScaleCrop>
  <Company>Reanimator Extreme Edition</Company>
  <LinksUpToDate>false</LinksUpToDate>
  <CharactersWithSpaces>80169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OfficePC</dc:creator>
  <cp:keywords/>
  <dc:description/>
  <cp:lastModifiedBy>OfficePC</cp:lastModifiedBy>
  <cp:revision>37</cp:revision>
  <dcterms:created xsi:type="dcterms:W3CDTF">2011-10-20T06:09:00Z</dcterms:created>
  <dcterms:modified xsi:type="dcterms:W3CDTF">2011-10-20T10:44:00Z</dcterms:modified>
</cp:coreProperties>
</file>