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120B3" w:rsidRPr="00D120B3" w:rsidTr="00D120B3">
        <w:trPr>
          <w:trHeight w:val="570"/>
          <w:tblCellSpacing w:w="0" w:type="dxa"/>
        </w:trPr>
        <w:tc>
          <w:tcPr>
            <w:tcW w:w="0" w:type="auto"/>
            <w:vAlign w:val="center"/>
            <w:hideMark/>
          </w:tcPr>
          <w:p w:rsidR="00D120B3" w:rsidRPr="00D120B3" w:rsidRDefault="00D120B3" w:rsidP="00D120B3">
            <w:pPr>
              <w:spacing w:after="0" w:line="240" w:lineRule="auto"/>
              <w:rPr>
                <w:rFonts w:ascii="Times New Roman" w:eastAsia="Times New Roman" w:hAnsi="Times New Roman" w:cs="Times New Roman"/>
                <w:color w:val="626262"/>
                <w:sz w:val="27"/>
                <w:szCs w:val="27"/>
              </w:rPr>
            </w:pPr>
            <w:r w:rsidRPr="00D120B3">
              <w:rPr>
                <w:rFonts w:ascii="Times New Roman" w:eastAsia="Times New Roman" w:hAnsi="Times New Roman" w:cs="Times New Roman"/>
                <w:color w:val="626262"/>
                <w:sz w:val="27"/>
                <w:szCs w:val="27"/>
              </w:rPr>
              <w:t>Международный стандарт финансовой отчетности (IAS) 18 «Выручка»</w:t>
            </w:r>
          </w:p>
        </w:tc>
      </w:tr>
      <w:tr w:rsidR="00D120B3" w:rsidRPr="00D120B3" w:rsidTr="00D120B3">
        <w:trPr>
          <w:tblCellSpacing w:w="0" w:type="dxa"/>
        </w:trPr>
        <w:tc>
          <w:tcPr>
            <w:tcW w:w="0" w:type="auto"/>
            <w:vAlign w:val="center"/>
            <w:hideMark/>
          </w:tcPr>
          <w:p w:rsidR="00D120B3" w:rsidRPr="00D120B3" w:rsidRDefault="00D120B3" w:rsidP="00D120B3">
            <w:pPr>
              <w:spacing w:before="100" w:beforeAutospacing="1" w:after="100" w:afterAutospacing="1" w:line="240" w:lineRule="auto"/>
              <w:jc w:val="both"/>
              <w:outlineLvl w:val="3"/>
              <w:rPr>
                <w:rFonts w:ascii="Times New Roman" w:eastAsia="Times New Roman" w:hAnsi="Times New Roman" w:cs="Times New Roman"/>
                <w:b/>
                <w:bCs/>
                <w:color w:val="626262"/>
                <w:sz w:val="24"/>
                <w:szCs w:val="24"/>
              </w:rPr>
            </w:pPr>
            <w:r w:rsidRPr="00D120B3">
              <w:rPr>
                <w:rFonts w:ascii="Times New Roman" w:eastAsia="Times New Roman" w:hAnsi="Times New Roman" w:cs="Times New Roman"/>
                <w:b/>
                <w:bCs/>
                <w:color w:val="626262"/>
                <w:sz w:val="24"/>
                <w:szCs w:val="24"/>
              </w:rPr>
              <w:t>Международный стандарт финансовой отчетности (IAS) 18 «Выручка»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Цель</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i/>
                <w:iCs/>
                <w:color w:val="626262"/>
                <w:sz w:val="20"/>
              </w:rPr>
              <w:t>В «Концепции подготовки и представления финансовой отчетности»</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доход определяется как увеличение экономических выгод в течение отчетного периода в форме притоков или увеличения активов либо уменьшения обязательств, приводящее к увеличению собственного капитала, не связанного с взносами участников капитала. Доход включает в себя как выручку предприятия, так и прочие доходы. Выручка - это доходы от обычной деятельности предприятия, характеризуемые, в том числе, как доходы от продаж, оплаты услуг, процентов, дивидендов и роялти. Цель настоящего стандарта состоит в определении порядка учета выручки, возникающей от определенных видов операций и событий.</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Основным вопросом при учете выручки является определение момента, когда ее необходимо признавать. Выручка признается, если существует вероятность того, что предприятие получит будущие экономические выгоды, и эти выгоды можно надежно измерить. Данный стандарт определяет условия, при которых выполняются эти критерии и, следовательно, признается выручка. Данный стандарт также содержит практические рекомендации по применению указанных критериев.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Сфера применения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              Настоящий стандарт применяется при учете выручки, полученной от следующих операций и событий:</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продажи товаров;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предоставление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использование другими сторонами активов предприятия, приносящих проценты, роялти и дивиденды.</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              Данный стандарт заменяет МСФО (IAS) 18</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«Признание выручки»,</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утвержденный в 1982 году.</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              Под товарами подразумевается продукция, произведенная предприятием для продажи, и товары, купленные для дальнейшей продажи (например, товары, приобретенные розничным продавцом, земля или другое имущество, предназначенное для перепродажи).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4              Предоставление услуг обычно подразумевает выполнение предприятием согласованного в договоре задания в течение определенного периода времени. Услуги могут предоставляться в течение одного отчетного периода или более чем одного. Некоторые договоры на предоставление услуг непосредственно связаны с договорами на строительство, например, договоры на оказание услуг руководителей проектов и архитекторов. Выручка, возникающая от этих договоров, не рассматривается в настоящем стандарте, а отражается в соответствии с требованиями для договоров на строительство, которые определены в МСФО (IAS) 11</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«Договоры на строительство»</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5              Использование активов предприятия другими сторонами ведет к возникновению выручки в форме: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процентов - платы, которая взимается за пользование денежными средствами и эквивалентами денежных средств или с сумм задолженности перед предприятием;</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роялти - платы за использование долгосрочных активов предприятия, например, патентов, торговых марок, авторских прав и компьютерного программного обеспечения;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xml:space="preserve">(c)           дивидендов - распределения прибыли между владельцами акционерного капитала </w:t>
            </w:r>
            <w:r w:rsidRPr="00D120B3">
              <w:rPr>
                <w:rFonts w:ascii="Times New Roman" w:eastAsia="Times New Roman" w:hAnsi="Times New Roman" w:cs="Times New Roman"/>
                <w:color w:val="626262"/>
                <w:sz w:val="20"/>
                <w:szCs w:val="20"/>
              </w:rPr>
              <w:lastRenderedPageBreak/>
              <w:t>пропорционально их участию в капитале определенного класса.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6              Настоящий стандарт не применяется в отношении выручки, возникающей от:</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договоров аренды (см. МСФО (IAS) 17</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«Аренда»</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дивидендов от инвестиций, учитываемых по методу долевого участия (см. МСФО (IAS) 28</w:t>
            </w:r>
            <w:r w:rsidRPr="00D120B3">
              <w:rPr>
                <w:rFonts w:ascii="Times New Roman" w:eastAsia="Times New Roman" w:hAnsi="Times New Roman" w:cs="Times New Roman"/>
                <w:i/>
                <w:iCs/>
                <w:color w:val="626262"/>
                <w:sz w:val="20"/>
              </w:rPr>
              <w:t>«Инвестиции в ассоциированные предприятия»</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договоров страхования, на которые распространяется действие МСФО (IFRS) 4</w:t>
            </w:r>
            <w:r w:rsidRPr="00D120B3">
              <w:rPr>
                <w:rFonts w:ascii="Times New Roman" w:eastAsia="Times New Roman" w:hAnsi="Times New Roman" w:cs="Times New Roman"/>
                <w:i/>
                <w:iCs/>
                <w:color w:val="626262"/>
                <w:sz w:val="20"/>
              </w:rPr>
              <w:t>«Договоры страхования»</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(d)           изменений справедливой стоимости финансовых активов и финансовых обязательств или их выбытия (см. МСФО (IAS) 39</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«Финансовые инструменты: признание и измерение»</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(e)           изменений стоимости других краткосрочных активов;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(f)            первоначального признания и изменений справедливой стоимости биологических активов, связанных с сельскохозяйственной деятельностью (см. МСФО (IAS) 41</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«Сельское хозяйство»</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(g)           первоначального признания сельскохозяйственной продукции (см. МСФО (IAS));</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(h)           добычи минеральных руд.</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Определения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7              В настоящем стандарте используются следующие термины в указанных значениях:</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i/>
                <w:iCs/>
                <w:color w:val="626262"/>
                <w:sz w:val="20"/>
              </w:rPr>
              <w:t>Выручка</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 валовое поступление экономических выгод за определенный период в ходе обычной деятельности предприятия, приводящее к увеличению собственного капитала, не связанного с взносами участников собственного капитала.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i/>
                <w:iCs/>
                <w:color w:val="626262"/>
                <w:sz w:val="20"/>
              </w:rPr>
              <w:t>Справедливая стоимость</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8              Под выручкой подразумеваются только валовые поступления экономических выгод, полученных и подлежащих получению предприятием на его счет. Суммы, полученные от имени третьей стороны, такие как налог с продаж, налоги на товары и услуги и налог на добавленную стоимость, не являются получаемыми предприятием экономическими выгодами и не ведут к увеличению собственного капитала. Поэтому они исключаются из выручки. Подобным образом, при агентских отношениях валовой приток экономических выгод включает суммы, собираемые от имени принципала, которые не ведут к увеличению собственного капитала предприятия. Суммы, собранные от имени принципала, не являются выручкой. При этом выручкой является сумма комиссионных вознаграждений.</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Измерение выручки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9              Выручка должна измеряться по справедливой стоимости полученного или подлежащего получению возмещения.</w:t>
            </w:r>
            <w:bookmarkStart w:id="0" w:name="_ftnref1"/>
            <w:r w:rsidRPr="00D120B3">
              <w:rPr>
                <w:rFonts w:ascii="Times New Roman" w:eastAsia="Times New Roman" w:hAnsi="Times New Roman" w:cs="Times New Roman"/>
                <w:color w:val="626262"/>
                <w:sz w:val="20"/>
                <w:szCs w:val="20"/>
              </w:rPr>
              <w:fldChar w:fldCharType="begin"/>
            </w:r>
            <w:r w:rsidRPr="00D120B3">
              <w:rPr>
                <w:rFonts w:ascii="Times New Roman" w:eastAsia="Times New Roman" w:hAnsi="Times New Roman" w:cs="Times New Roman"/>
                <w:color w:val="626262"/>
                <w:sz w:val="20"/>
                <w:szCs w:val="20"/>
              </w:rPr>
              <w:instrText xml:space="preserve"> HYPERLINK "http://www.kz-adviser.kz/official/32-ifrs/187-ias18" \l "_ftn1" </w:instrText>
            </w:r>
            <w:r w:rsidRPr="00D120B3">
              <w:rPr>
                <w:rFonts w:ascii="Times New Roman" w:eastAsia="Times New Roman" w:hAnsi="Times New Roman" w:cs="Times New Roman"/>
                <w:color w:val="626262"/>
                <w:sz w:val="20"/>
                <w:szCs w:val="20"/>
              </w:rPr>
              <w:fldChar w:fldCharType="separate"/>
            </w:r>
            <w:r w:rsidRPr="00D120B3">
              <w:rPr>
                <w:rFonts w:ascii="Times New Roman" w:eastAsia="Times New Roman" w:hAnsi="Times New Roman" w:cs="Times New Roman"/>
                <w:b/>
                <w:bCs/>
                <w:color w:val="0000FF"/>
                <w:sz w:val="20"/>
                <w:u w:val="single"/>
              </w:rPr>
              <w:t>[1]</w:t>
            </w:r>
            <w:r w:rsidRPr="00D120B3">
              <w:rPr>
                <w:rFonts w:ascii="Times New Roman" w:eastAsia="Times New Roman" w:hAnsi="Times New Roman" w:cs="Times New Roman"/>
                <w:color w:val="626262"/>
                <w:sz w:val="20"/>
                <w:szCs w:val="20"/>
              </w:rPr>
              <w:fldChar w:fldCharType="end"/>
            </w:r>
            <w:bookmarkEnd w:id="0"/>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10            Сумма выручки, возникающей от операции, обычно определяется договором между предприятием и покупателем или пользователем актива. Она измеряется по справедливой стоимости возмещения, полученного или подлежащего получению, с учетом суммы любых торговых или оптовых скидок, предоставляемых предприятием.</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lastRenderedPageBreak/>
              <w:t>11            В большинстве случаев возмещение предоставляется в форме денежных средств или эквивалентов денежных средств, а суммой выручки является полученная или подлежащая получению сумма денежных средств или эквивалентов денежных средств. Однако в случае, если поступление денежных средств или эквивалентов денежных средств откладывается, справедливая стоимость возмещения может быть меньше полученной или подлежащей получению номинальной суммы денежных средств. Например, предприятие может предоставить беспроцентный кредит покупателю или принять от него вексель к получению с процентной ставкой ниже рыночной в качестве возмещения при продаже товаров. Когда договор фактически представляет собой операцию финансирования, справедливая стоимость возмещения определяется дисконтированием всех будущих поступлений с использованием вмененной ставки процента. Вмененная ставка процента - это наиболее точно определяемая величина из следующих:</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преобладающая ставка для аналогичного финансового инструмента эмитента с аналогичным рейтингом кредитоспособности; или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процентная ставка, которая дисконтирует номинальную сумму финансового инструмента до текущих цен товаров или услуг при продажах за наличные.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Разница между справедливой стоимостью и номинальной суммой возмещения признается процентным доходом в соответствии с пунктами 29-30 и в соответствии с МСФО (IAS) 39</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«Финансовые инструменты: признание и измерение»</w:t>
            </w:r>
            <w:r w:rsidRPr="00D120B3">
              <w:rPr>
                <w:rFonts w:ascii="Times New Roman" w:eastAsia="Times New Roman" w:hAnsi="Times New Roman" w:cs="Times New Roman"/>
                <w:color w:val="626262"/>
                <w:sz w:val="20"/>
                <w:szCs w:val="20"/>
              </w:rPr>
              <w:t>.</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12            Если товары или услуги обмениваются на товары или услуги, аналогичные по характеру и стоимости, обмен не рассматривается как операция, создающая выручку. Это часто происходит с такими продуктами, как масло или молоко, когда поставщики обменивают запасы в различных местах для своевременного удовлетворения спроса в конкретном месте. При продаже товаров или предоставлении услуги в обмен на отличающиеся товары или услуги, обмен рассматривается как операция, создающая выручку. Выручка измеряется по справедливой стоимости полученных товаров или услуг, скорректированной на сумму переведенных денежных средств или их эквивалентов. Если справедливая стоимость полученных товаров или услуг не может быть надежно измерена, выручка измеряется по справедливой стоимости переданных товаров или услуг, скорректированной на сумму переведенных денежных средств или их эквивалентов.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Идентификация операции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13            Критерии признания, представленные в этом стандарте, обычно применяются отдельно к каждой операции. Однако при определенных обстоятельствах необходимо применять их к отдельно идентифицируемым элементам индивидуальной сделки для того, чтобы отразить ее содержание. Например, если продажная цена товара включает сумму на последующее обслуживание, которая может быть определена, эта величина откладывается и признается как выручка за период, в течение которого производится обслуживание. И наоборот, критерии признания могут применяться одновременно к двум или более операциям, когда они связаны таким образом, что их коммерческий эффект не может быть определен без рассмотрения серии операций как единого целого. Например, предприятие может продать товары и в тоже время заключить отдельный договор на выкуп этих товаров в будущем, тем самым, в сущности, сводя на нет эффект операции. В таких случаях обе операции рассматриваются вместе.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Продажа товаров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14           Выручка от продажи товаров должна признаваться, если удовлетворяются все перечисленные ниже условия: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предприятие передало покупателю значительные риски и вознаграждения, связанные с правом собственности на товары;</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предприятие больше не участвует в управлении в той степени, которая обычно ассоциируется с правом собственности, и не контролирует проданные товары;</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lastRenderedPageBreak/>
              <w:t>(c)           сумма выручки может быть надежно измерена;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(d)           существует вероятность того, что экономические выгоды, связанные с операцией, поступят на предприятие;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(e)           понесенные или ожидаемые затраты, связанные с операцией, можно надежно измерить.</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15            Определение момента, когда предприятие передает покупателю значительные риски и вознаграждения, связанные с правом собственности, требует изучения условий операции. В большинстве случаев передача рисков и вознаграждений, связанных с правом собственности, совпадает с передачей покупателю юридических прав собственности или владения. Так происходит при большинстве розничных продаж. В других случаях передача рисков и вознаграждений, связанных с правом собственности, происходит в иной момент, чем передача юридических прав собственности или передача владения.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16            Если предприятие сохраняет значительные риски, связанные с правом собственности, операция не является продажей и выручка по ней не признается. При различных обстоятельствах предприятие может сохранять значительный риск, связанный с правом собственности. Ситуации, когда у предприятия остаются существенные риски и вознаграждения, связанные с правом собственности, включают следующие обстоятельства: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предприятие продолжает нести ответственность за неудовлетворительную работу, не покрываемую стандартными условиями гарантии;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получение выручки от конкретной продажи зависит от получения выручки покупателем в результате дальнейшей продажи товаров;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поставленные товары подлежат установке, а установка составляет значительную часть контракта, который предприятие еще не выполнило;</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(d)           покупатель имеет право расторгнуть сделку купли-продажи по причине, определенной в договоре купли-продажи, и у предприятия нет уверенности в получении дохода.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17            Если предприятие сохраняет лишь незначительные риски, связанные с правом собственности, операция является продажей и выручка признается. Например, продавец может оставить за собой юридическое право собственности только для того, чтобы обеспечить поступление причитающейся ему суммы. В таком случае, если предприятие передало значительные риски и вознаграждения, связанные с правом собственности, операция является продажей и выручка признается. Другим примером, когда предприятие сохраняет лишь незначительный риск, связанный с правом собственности, может быть розничная торговля, при которой предлагается возврат денег в случае, если клиент неудовлетворен покупкой. Выручка в таких случаях признается в момент совершения продажи, при условии, что продавец может надежно оценить будущие возвраты и признаёт обязательство по возвратам на основе предыдущего опыта и других соответствующих факторов.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18            Выручка признается только при наличии вероятности того, что экономические выгоды, связанные с операцией, поступят на предприятие. В некоторых случаях такая вероятность может отсутствовать до тех пор, пока не получено возмещение или не устранена неопределенность. Например, может быть неизвестно, разрешит ли иностранное правительство перевод за границу полученного при продаже возмещения. После получения разрешения неопределенность устраняется и, соответственно, признается выручка. Однако в случае, когда неопределенность возникает в отношении возможности получить сумму, уже включенную в выручку, недополученная сумма, или сумма, вероятность получения которой стала маловероятной, признается в качестве расхода, а не как корректировка суммы первоначально признанной выручки.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19            Выручка и расходы, относящиеся к одной и той же операции или какому-либо событию, признаются одновременно; этот процесс обычно называется увязкой доходов и расходов. Расходы, в том числе гарантии и другие затраты, возникающие после отгрузки товаров, обычно могут быть надежно измерены при выполнении других условий, необходимых для признания выручки. Однако выручка не может быть признана, когда расходы не могут быть надежно измерены. В таких ситуациях любое уже полученное за продажу товара возмещение признается в качестве обязательства.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lastRenderedPageBreak/>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Предоставление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20           Если результат операции, предполагающей предоставление услуг, поддается надежной оценке, выручка от такой операции должна признаваться в соответствии со стадией завершенности операции на отчетную дату. Результат операции можно надежно оценить, если выполняются все следующие условия: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сумма выручки может быть надежно измерена;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существует вероятность того, что экономические выгоды, связанные с операцией, поступят на предприятие;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стадия завершенности операции по состоянию на отчетную дату может быть надежно измерена;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(d)           затраты, понесенные при выполнении операции, и затраты, необходимые для ее завершения, могут быть надёжно измерены.</w:t>
            </w:r>
            <w:bookmarkStart w:id="1" w:name="_ftnref2"/>
            <w:r w:rsidRPr="00D120B3">
              <w:rPr>
                <w:rFonts w:ascii="Times New Roman" w:eastAsia="Times New Roman" w:hAnsi="Times New Roman" w:cs="Times New Roman"/>
                <w:color w:val="626262"/>
                <w:sz w:val="20"/>
                <w:szCs w:val="20"/>
              </w:rPr>
              <w:fldChar w:fldCharType="begin"/>
            </w:r>
            <w:r w:rsidRPr="00D120B3">
              <w:rPr>
                <w:rFonts w:ascii="Times New Roman" w:eastAsia="Times New Roman" w:hAnsi="Times New Roman" w:cs="Times New Roman"/>
                <w:color w:val="626262"/>
                <w:sz w:val="20"/>
                <w:szCs w:val="20"/>
              </w:rPr>
              <w:instrText xml:space="preserve"> HYPERLINK "http://www.kz-adviser.kz/official/32-ifrs/187-ias18" \l "_ftn2" </w:instrText>
            </w:r>
            <w:r w:rsidRPr="00D120B3">
              <w:rPr>
                <w:rFonts w:ascii="Times New Roman" w:eastAsia="Times New Roman" w:hAnsi="Times New Roman" w:cs="Times New Roman"/>
                <w:color w:val="626262"/>
                <w:sz w:val="20"/>
                <w:szCs w:val="20"/>
              </w:rPr>
              <w:fldChar w:fldCharType="separate"/>
            </w:r>
            <w:r w:rsidRPr="00D120B3">
              <w:rPr>
                <w:rFonts w:ascii="Times New Roman" w:eastAsia="Times New Roman" w:hAnsi="Times New Roman" w:cs="Times New Roman"/>
                <w:b/>
                <w:bCs/>
                <w:color w:val="0000FF"/>
                <w:sz w:val="20"/>
                <w:u w:val="single"/>
              </w:rPr>
              <w:t>[2]</w:t>
            </w:r>
            <w:r w:rsidRPr="00D120B3">
              <w:rPr>
                <w:rFonts w:ascii="Times New Roman" w:eastAsia="Times New Roman" w:hAnsi="Times New Roman" w:cs="Times New Roman"/>
                <w:color w:val="626262"/>
                <w:sz w:val="20"/>
                <w:szCs w:val="20"/>
              </w:rPr>
              <w:fldChar w:fldCharType="end"/>
            </w:r>
            <w:bookmarkEnd w:id="1"/>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21            Признание выручки по стадии завершенности операции часто называется методом процента выполнения. Согласно этому методу, выручка признается в том же отчетном периоде, когда предоставляются услуги. Признание выручки на этой основе обеспечивает полезную информацию об объеме предоставленных услуг и результатах такой деятельности за период. МСФО (IAS) 11</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«Договоры на строительство»</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также требует признавать выручку на этой же основе. Требования указанного стандарта в целом применимы для признания выручки и соответствующих расходов по сделке, предполагающей предоставление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22            Выручка признается только при наличии вероятности того, что экономические выгоды, связанные с операцией, поступят на предприятие. Однако в случае, когда неопределенность возникает в отношении возможности получить сумму, уже включенную в выручку, недополученная сумма, или сумма, вероятность получения которой стала маловероятной, признается в качестве расхода, а не как корректировка суммы первоначально признанной выручки.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23            Как правило, предприятие способно произвести надежную оценку после согласования следующих положений с другими сторонами - участниками операции: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юридически закрепленные права каждой стороны в отношении услуг, которые должны быть предоставлены и получены сторонами;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встречное возмещение; 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форму и условия расчета.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Предприятие, как правило, также должно иметь эффективную внутреннюю систему финансового планирования и отчетности. По мере предоставления услуг предприятие проверяет и при необходимости пересматривает оценку выручки по договору. Необходимость таких пересмотров не означает, что результат операции не может быть надежно оценен.</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24            Стадия завершенности сделки может быть определена различными методами. Предприятие использует тот из них, который обеспечивает надежное измерение выполненной работы. В зависимости от характера сделки эти методы могут включать:</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отчеты о выполненной работе;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услуги, предоставленные на дату отчетности, в процентах к общему объему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xml:space="preserve">(c)           пропорциональное соотношение затрат, понесенных на данный момент, к оценочной величине общих затрат по сделке. В затраты, понесенные на дату составления отчета, включаются лишь те, которые отражают предоставленные на эту дату услуги. В оценочные общие затраты по сделке включаются только </w:t>
            </w:r>
            <w:r w:rsidRPr="00D120B3">
              <w:rPr>
                <w:rFonts w:ascii="Times New Roman" w:eastAsia="Times New Roman" w:hAnsi="Times New Roman" w:cs="Times New Roman"/>
                <w:color w:val="626262"/>
                <w:sz w:val="20"/>
                <w:szCs w:val="20"/>
              </w:rPr>
              <w:lastRenderedPageBreak/>
              <w:t>затраты, отражающие предоставленные или подлежащие предоставлению услуги.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Промежуточные платежи и авансы, полученные от заказчиков, часто не отражают предоставленных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25            Из практических соображений, в случае если услуги предоставляются неопределенное количество раз на протяжении определенного периода времени, выручка признается на основе линейного метода в течение определенного периода, если нет доказательства того, что какой-либо иной метод лучше отражает стадию завершенности. Если какое-либо действие является намного более значительным, чем другие, то признание выручки откладывается до осуществления этого действия.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26           Если результат операции, предполагающей предоставление услуг, не может быть надежно оценен, выручка должна признаваться только в размере признанных возмещаемых расходов.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27            На начальных стадиях исполнения операции часто бывает невозможно сделать расчетную оценку ее результата. Тем не менее, может существовать вероятность того, что предприятие возместит затраты, понесенные при выполнении операции. Поэтому выручка признается только в той степени, в какой ожидается возмещение понесенных затрат. Так как результат операции не может быть надежно рассчитан, прибыль не признается.</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28            Если результат операции не может быть надежно оценен и отсутствует вероятность того, что понесенные затраты будут возмещены, выручка не признается, а понесенные затраты признаются в качестве расхода. После устранения факторов неопределенности, препятствовавших надежной оценке результата договора, выручка признается в соответствии с пунктом 20, а не в соответствии с пунктом 26.</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Проценты, роялти и дивиденды</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29           Выручка, возникающая от использования другими организациями активов предприятия, приносящих проценты, роялти и дивиденды, должна признаваться на основе, определенной в пункте 30, если: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существует вероятность того, что экономические выгоды, связанные с операцией, поступят на предприятие;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сумма выручки может быть надежно измерена;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30           Выручка должна признаваться на следующей основе:</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проценты признаются по методу эффективной ставки процента, который определен в МСФО (IAS) 39, пункты 9 и AG5-AG8;</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роялти признаются по принципу начисления в соответствии с содержанием соответствующего договора;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дивиденды признаются тогда, когда установлено право акционеров на получение выплаты.</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31            [Удален]</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32            Когда невыплаченные проценты начислены до приобретения инвестиции, содержащей проценты, последующее получение процентов распределяется между периодом до приобретения и периодом после приобретения; только часть процентов за период после приобретения признается в качестве выручки. Когда дивиденды по долевым ценным бумагам объявляются из чистой прибыли до приобретения, они вычитаются из стоимости ценных бумаг. Если такое распределение трудно осуществить иначе, чем условным способом, дивиденды признаются в качестве выручки, если только они очевидно не представляют собой возмещение части стоимости долевых ценных бумаг.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xml:space="preserve">33            Роялти начисляются в соответствии с условиями соответствующих договоров и обычно признаются на этой основе, если только с учетом содержания договора для признания выручки не </w:t>
            </w:r>
            <w:r w:rsidRPr="00D120B3">
              <w:rPr>
                <w:rFonts w:ascii="Times New Roman" w:eastAsia="Times New Roman" w:hAnsi="Times New Roman" w:cs="Times New Roman"/>
                <w:color w:val="626262"/>
                <w:sz w:val="20"/>
                <w:szCs w:val="20"/>
              </w:rPr>
              <w:lastRenderedPageBreak/>
              <w:t>оказывается более подходящей иная систематическая рациональная основа.</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34            Выручка признается только при наличии вероятности того, что экономические выгоды, связанные с операцией, поступят на предприятие. Однако в случае, когда неопределенность возникает в отношении возможности получить сумму, уже включенную в выручку, недополученная сумма, или сумма, вероятность получения которой стала маловероятной, признается в качестве расхода, а не как корректировка суммы первоначально признанной выручки.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Раскрытие информации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35           Предприятие должно раскрывать:</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(a)           учетную политику, принятую для признания выручки, в том числе методы, используемые для определения стадии завершенности операций, связанных с предоставлением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(b)           сумму каждой значительной статьи выручки, признанной в течение периода, в том числе выручки, возникающей от:</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(i)            продажи товаров;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(ii)           предоставления услуг;</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(iii)         процентов;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(iv)          роялти;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(v)            дивидендов;</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(c)           сумму выручки, возникающей от обмена товаров или услуг, включенных в каждую значительную статью выручки.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36            Предприятие раскрывает данные о любых условных обязательствах и условных активах в соответствии с МСФО 37</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"Оценочные резервы, условные обязательства и условные активы"</w:t>
            </w:r>
            <w:r w:rsidRPr="00D120B3">
              <w:rPr>
                <w:rFonts w:ascii="Times New Roman" w:eastAsia="Times New Roman" w:hAnsi="Times New Roman" w:cs="Times New Roman"/>
                <w:color w:val="626262"/>
                <w:sz w:val="20"/>
                <w:szCs w:val="20"/>
              </w:rPr>
              <w:t>. Условные обязательства и условные активы могут возникать по таким статьям, как затраты по гарантиям, претензии, штрафы или возможные убытки.</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 </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b/>
                <w:bCs/>
                <w:color w:val="626262"/>
                <w:sz w:val="20"/>
              </w:rPr>
              <w:t>Дата вступления в силу</w:t>
            </w:r>
          </w:p>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t>37           Настоящий стандарт вступает в силу применительно к финансовой отчетности, охватывающей периоды, начинающиеся 1 января 1995 г. или после этой даты.</w:t>
            </w:r>
          </w:p>
          <w:p w:rsidR="00D120B3" w:rsidRPr="00D120B3" w:rsidRDefault="00D120B3" w:rsidP="00D120B3">
            <w:pPr>
              <w:spacing w:after="0"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br w:type="textWrapping" w:clear="all"/>
            </w:r>
          </w:p>
          <w:p w:rsidR="00D120B3" w:rsidRPr="00D120B3" w:rsidRDefault="00D120B3" w:rsidP="00D120B3">
            <w:pPr>
              <w:spacing w:after="0"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pict>
                <v:rect id="_x0000_i1025" style="width:154.35pt;height:.75pt" o:hrpct="330" o:hrstd="t" o:hr="t" fillcolor="#aca899" stroked="f"/>
              </w:pict>
            </w:r>
          </w:p>
          <w:bookmarkStart w:id="2" w:name="_ftn1"/>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fldChar w:fldCharType="begin"/>
            </w:r>
            <w:r w:rsidRPr="00D120B3">
              <w:rPr>
                <w:rFonts w:ascii="Times New Roman" w:eastAsia="Times New Roman" w:hAnsi="Times New Roman" w:cs="Times New Roman"/>
                <w:color w:val="626262"/>
                <w:sz w:val="20"/>
                <w:szCs w:val="20"/>
              </w:rPr>
              <w:instrText xml:space="preserve"> HYPERLINK "http://www.kz-adviser.kz/official/32-ifrs/187-ias18" \l "_ftnref1" </w:instrText>
            </w:r>
            <w:r w:rsidRPr="00D120B3">
              <w:rPr>
                <w:rFonts w:ascii="Times New Roman" w:eastAsia="Times New Roman" w:hAnsi="Times New Roman" w:cs="Times New Roman"/>
                <w:color w:val="626262"/>
                <w:sz w:val="20"/>
                <w:szCs w:val="20"/>
              </w:rPr>
              <w:fldChar w:fldCharType="separate"/>
            </w:r>
            <w:r w:rsidRPr="00D120B3">
              <w:rPr>
                <w:rFonts w:ascii="Times New Roman" w:eastAsia="Times New Roman" w:hAnsi="Times New Roman" w:cs="Times New Roman"/>
                <w:b/>
                <w:bCs/>
                <w:color w:val="0000FF"/>
                <w:sz w:val="20"/>
                <w:u w:val="single"/>
              </w:rPr>
              <w:t>[1]</w:t>
            </w:r>
            <w:r w:rsidRPr="00D120B3">
              <w:rPr>
                <w:rFonts w:ascii="Times New Roman" w:eastAsia="Times New Roman" w:hAnsi="Times New Roman" w:cs="Times New Roman"/>
                <w:color w:val="626262"/>
                <w:sz w:val="20"/>
                <w:szCs w:val="20"/>
              </w:rPr>
              <w:fldChar w:fldCharType="end"/>
            </w:r>
            <w:bookmarkEnd w:id="2"/>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См. также ПКР (SIC) - 31</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«Выручка - бартерные операции, включающие рекламные услуги»</w:t>
            </w:r>
          </w:p>
          <w:bookmarkStart w:id="3" w:name="_ftn2"/>
          <w:p w:rsidR="00D120B3" w:rsidRPr="00D120B3" w:rsidRDefault="00D120B3" w:rsidP="00D120B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20B3">
              <w:rPr>
                <w:rFonts w:ascii="Times New Roman" w:eastAsia="Times New Roman" w:hAnsi="Times New Roman" w:cs="Times New Roman"/>
                <w:color w:val="626262"/>
                <w:sz w:val="20"/>
                <w:szCs w:val="20"/>
              </w:rPr>
              <w:fldChar w:fldCharType="begin"/>
            </w:r>
            <w:r w:rsidRPr="00D120B3">
              <w:rPr>
                <w:rFonts w:ascii="Times New Roman" w:eastAsia="Times New Roman" w:hAnsi="Times New Roman" w:cs="Times New Roman"/>
                <w:color w:val="626262"/>
                <w:sz w:val="20"/>
                <w:szCs w:val="20"/>
              </w:rPr>
              <w:instrText xml:space="preserve"> HYPERLINK "http://www.kz-adviser.kz/official/32-ifrs/187-ias18" \l "_ftnref2" </w:instrText>
            </w:r>
            <w:r w:rsidRPr="00D120B3">
              <w:rPr>
                <w:rFonts w:ascii="Times New Roman" w:eastAsia="Times New Roman" w:hAnsi="Times New Roman" w:cs="Times New Roman"/>
                <w:color w:val="626262"/>
                <w:sz w:val="20"/>
                <w:szCs w:val="20"/>
              </w:rPr>
              <w:fldChar w:fldCharType="separate"/>
            </w:r>
            <w:r w:rsidRPr="00D120B3">
              <w:rPr>
                <w:rFonts w:ascii="Times New Roman" w:eastAsia="Times New Roman" w:hAnsi="Times New Roman" w:cs="Times New Roman"/>
                <w:b/>
                <w:bCs/>
                <w:color w:val="0000FF"/>
                <w:sz w:val="20"/>
                <w:u w:val="single"/>
              </w:rPr>
              <w:t>[2]</w:t>
            </w:r>
            <w:r w:rsidRPr="00D120B3">
              <w:rPr>
                <w:rFonts w:ascii="Times New Roman" w:eastAsia="Times New Roman" w:hAnsi="Times New Roman" w:cs="Times New Roman"/>
                <w:color w:val="626262"/>
                <w:sz w:val="20"/>
                <w:szCs w:val="20"/>
              </w:rPr>
              <w:fldChar w:fldCharType="end"/>
            </w:r>
            <w:bookmarkEnd w:id="3"/>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color w:val="626262"/>
                <w:sz w:val="20"/>
                <w:szCs w:val="20"/>
              </w:rPr>
              <w:t>См. также ПКР (SIC) - 27</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w:t>
            </w:r>
            <w:r w:rsidRPr="00D120B3">
              <w:rPr>
                <w:rFonts w:ascii="Times New Roman" w:eastAsia="Times New Roman" w:hAnsi="Times New Roman" w:cs="Times New Roman"/>
                <w:b/>
                <w:bCs/>
                <w:i/>
                <w:iCs/>
                <w:color w:val="626262"/>
                <w:sz w:val="20"/>
              </w:rPr>
              <w:t>Анализ сущности сделок, имеющих юридическую форму аренды» </w:t>
            </w:r>
            <w:r w:rsidRPr="00D120B3">
              <w:rPr>
                <w:rFonts w:ascii="Times New Roman" w:eastAsia="Times New Roman" w:hAnsi="Times New Roman" w:cs="Times New Roman"/>
                <w:color w:val="626262"/>
                <w:sz w:val="20"/>
                <w:szCs w:val="20"/>
              </w:rPr>
              <w:t>и ПКР (SIC) - 31</w:t>
            </w:r>
            <w:r w:rsidRPr="00D120B3">
              <w:rPr>
                <w:rFonts w:ascii="Times New Roman" w:eastAsia="Times New Roman" w:hAnsi="Times New Roman" w:cs="Times New Roman"/>
                <w:color w:val="626262"/>
                <w:sz w:val="20"/>
              </w:rPr>
              <w:t> </w:t>
            </w:r>
            <w:r w:rsidRPr="00D120B3">
              <w:rPr>
                <w:rFonts w:ascii="Times New Roman" w:eastAsia="Times New Roman" w:hAnsi="Times New Roman" w:cs="Times New Roman"/>
                <w:i/>
                <w:iCs/>
                <w:color w:val="626262"/>
                <w:sz w:val="20"/>
              </w:rPr>
              <w:t>«Выручка - бартерные операции, включающие рекламные услуги».</w:t>
            </w:r>
          </w:p>
        </w:tc>
      </w:tr>
    </w:tbl>
    <w:p w:rsidR="006F6E52" w:rsidRPr="00D120B3" w:rsidRDefault="006F6E52" w:rsidP="00D120B3"/>
    <w:sectPr w:rsidR="006F6E52" w:rsidRPr="00D120B3"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97004"/>
    <w:rsid w:val="00997D6E"/>
    <w:rsid w:val="009C2EE4"/>
    <w:rsid w:val="00A168AB"/>
    <w:rsid w:val="00AB0337"/>
    <w:rsid w:val="00AE7E73"/>
    <w:rsid w:val="00B944CD"/>
    <w:rsid w:val="00BB1376"/>
    <w:rsid w:val="00C54A8E"/>
    <w:rsid w:val="00D120B3"/>
    <w:rsid w:val="00D4347A"/>
    <w:rsid w:val="00E75E7B"/>
    <w:rsid w:val="00E96763"/>
    <w:rsid w:val="00EF3489"/>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3329</Words>
  <Characters>18976</Characters>
  <Application>Microsoft Office Word</Application>
  <DocSecurity>0</DocSecurity>
  <Lines>158</Lines>
  <Paragraphs>44</Paragraphs>
  <ScaleCrop>false</ScaleCrop>
  <Company>Reanimator Extreme Edition</Company>
  <LinksUpToDate>false</LinksUpToDate>
  <CharactersWithSpaces>22261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27</cp:revision>
  <dcterms:created xsi:type="dcterms:W3CDTF">2011-10-20T06:09:00Z</dcterms:created>
  <dcterms:modified xsi:type="dcterms:W3CDTF">2011-10-20T10:30:00Z</dcterms:modified>
</cp:coreProperties>
</file>