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1618FB" w:rsidRPr="001618FB" w:rsidTr="001618FB">
        <w:trPr>
          <w:trHeight w:val="570"/>
          <w:tblCellSpacing w:w="0" w:type="dxa"/>
        </w:trPr>
        <w:tc>
          <w:tcPr>
            <w:tcW w:w="0" w:type="auto"/>
            <w:vAlign w:val="center"/>
            <w:hideMark/>
          </w:tcPr>
          <w:p w:rsidR="001618FB" w:rsidRPr="001618FB" w:rsidRDefault="001618FB" w:rsidP="001618FB">
            <w:pPr>
              <w:spacing w:after="0" w:line="240" w:lineRule="auto"/>
              <w:rPr>
                <w:rFonts w:ascii="Times New Roman" w:eastAsia="Times New Roman" w:hAnsi="Times New Roman" w:cs="Times New Roman"/>
                <w:color w:val="626262"/>
                <w:sz w:val="27"/>
                <w:szCs w:val="27"/>
              </w:rPr>
            </w:pPr>
            <w:r w:rsidRPr="001618FB">
              <w:rPr>
                <w:rFonts w:ascii="Times New Roman" w:eastAsia="Times New Roman" w:hAnsi="Times New Roman" w:cs="Times New Roman"/>
                <w:color w:val="626262"/>
                <w:sz w:val="27"/>
                <w:szCs w:val="27"/>
              </w:rPr>
              <w:t>Международный стандарт финансовой отчетности (IAS) 26 «Учет и отчетность по пенсионным планам»</w:t>
            </w:r>
          </w:p>
        </w:tc>
      </w:tr>
      <w:tr w:rsidR="001618FB" w:rsidRPr="001618FB" w:rsidTr="001618FB">
        <w:trPr>
          <w:tblCellSpacing w:w="0" w:type="dxa"/>
        </w:trPr>
        <w:tc>
          <w:tcPr>
            <w:tcW w:w="0" w:type="auto"/>
            <w:vAlign w:val="center"/>
            <w:hideMark/>
          </w:tcPr>
          <w:p w:rsidR="001618FB" w:rsidRPr="001618FB" w:rsidRDefault="001618FB" w:rsidP="001618FB">
            <w:pPr>
              <w:spacing w:after="0"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b/>
                <w:bCs/>
                <w:color w:val="626262"/>
                <w:sz w:val="20"/>
              </w:rPr>
              <w:t>Международный стандарт финансовой отчетности (IAS) 26 «Учет и отчетность по пенсионным планам»</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b/>
                <w:bCs/>
                <w:color w:val="626262"/>
                <w:sz w:val="20"/>
              </w:rPr>
              <w:t>Сфера применения</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1              Настоящий стандарт применяется для финансовой отчетности по пенсионным планам предприятиями, которые составляют такого рода финансовую отчетность.</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2              Пенсионные планы иногда называются иначе, например, «пенсионные схемы», «схемы пенсий по выслуге лет» или «схемы пенсионного обеспечения». Настоящий стандарт рассматривает пенсионный план как отчитывающееся предприятие, отделенное от работодателей участников плана. Все остальные стандарты применяются к финансовой отчетности пенсионных планов в той степени, в какой они не покрываются положениями настоящего стандарта.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3              Настоящий стандарт применяется для учета и отчетности по плану для всех участников в целом как группы. Он не применяется для отчетности перед отдельными участниками плана относительно их пенсионных прав.</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4              МСФО (IAS) 19</w:t>
            </w:r>
            <w:r w:rsidRPr="001618FB">
              <w:rPr>
                <w:rFonts w:ascii="Times New Roman" w:eastAsia="Times New Roman" w:hAnsi="Times New Roman" w:cs="Times New Roman"/>
                <w:color w:val="626262"/>
                <w:sz w:val="20"/>
              </w:rPr>
              <w:t> </w:t>
            </w:r>
            <w:r w:rsidRPr="001618FB">
              <w:rPr>
                <w:rFonts w:ascii="Times New Roman" w:eastAsia="Times New Roman" w:hAnsi="Times New Roman" w:cs="Times New Roman"/>
                <w:i/>
                <w:iCs/>
                <w:color w:val="626262"/>
                <w:sz w:val="20"/>
              </w:rPr>
              <w:t>«Вознаграждения работникам»</w:t>
            </w:r>
            <w:r w:rsidRPr="001618FB">
              <w:rPr>
                <w:rFonts w:ascii="Times New Roman" w:eastAsia="Times New Roman" w:hAnsi="Times New Roman" w:cs="Times New Roman"/>
                <w:color w:val="626262"/>
                <w:sz w:val="20"/>
              </w:rPr>
              <w:t> </w:t>
            </w:r>
            <w:r w:rsidRPr="001618FB">
              <w:rPr>
                <w:rFonts w:ascii="Times New Roman" w:eastAsia="Times New Roman" w:hAnsi="Times New Roman" w:cs="Times New Roman"/>
                <w:color w:val="626262"/>
                <w:sz w:val="20"/>
                <w:szCs w:val="20"/>
              </w:rPr>
              <w:t>рассматривает определение затрат по пенсионному обеспечению в финансовой отчетности работодателей, имеющих пенсионные планы. Поэтому настоящий стандарт дополняет МСФО (IAS) 19.</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5              Пенсионные планы разделяются на пенсионные планы с установленными взносами и пенсионные планы с установленными выплатами. Многие требуют создания отдельных фондов, которые могут учреждаться как с образованием отдельного юридического лица, так и без такового, и которые могут иметь или не иметь доверительных управляющих, которым перечисляются взносы и которыми выплачиваются пенсии. Настоящий стандарт применяется независимо от того, создается ли такой фонд, а также независимо от того, имеются ли доверительные управляющие.</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6              Пенсионные планы, активы которых инвестированы в страховые компании, должны отвечать тем же требованиям к учету и фондированию, что и частные инвестиционные соглашения. Соответственно, они оказываются в сфере применения данного стандарта, если только контракт со страховой компанией не заключен от имени конкретного участника или группы участников пенсионного плана, а обязательства по пенсионным планам не являются обязательствами исключительно страховой компании.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7              Настоящий стандарт не применяется для других форм вознаграждений работникам, таких как выходные пособия в случае увольнения, соглашения об отсроченных компенсациях, пособия за выслугу лет, специальные программы по досрочному выходу на пенсию или по сокращению штатов, системы страхования от болезней и несчастных случаев или системы премирования. Соглашения в рамках государственной системы социального обеспечения также исключаются из сферы применения данного стандарта.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 </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b/>
                <w:bCs/>
                <w:color w:val="626262"/>
                <w:sz w:val="20"/>
              </w:rPr>
              <w:t>Определения</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8              В настоящем стандарте используются следующие термины в указанных значениях:</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i/>
                <w:iCs/>
                <w:color w:val="626262"/>
                <w:sz w:val="20"/>
              </w:rPr>
              <w:t>Пенсионные планы</w:t>
            </w:r>
            <w:r w:rsidRPr="001618FB">
              <w:rPr>
                <w:rFonts w:ascii="Times New Roman" w:eastAsia="Times New Roman" w:hAnsi="Times New Roman" w:cs="Times New Roman"/>
                <w:color w:val="626262"/>
                <w:sz w:val="20"/>
              </w:rPr>
              <w:t> </w:t>
            </w:r>
            <w:r w:rsidRPr="001618FB">
              <w:rPr>
                <w:rFonts w:ascii="Times New Roman" w:eastAsia="Times New Roman" w:hAnsi="Times New Roman" w:cs="Times New Roman"/>
                <w:color w:val="626262"/>
                <w:sz w:val="20"/>
                <w:szCs w:val="20"/>
              </w:rPr>
              <w:t>- это соглашения, по которым предприятие предоставляет выплаты своим работникам во время или после завершения трудовой деятельности (в виде годового дохода либо в виде единовременной выплаты). При этом такие выплаты, равно как и вклады для их обеспечения, могут быть определены или рассчитаны заблаговременно до выхода на пенсию как в соответствии с документами, так и на основе принятой на предприятии практики.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i/>
                <w:iCs/>
                <w:color w:val="626262"/>
                <w:sz w:val="20"/>
              </w:rPr>
              <w:t>Пенсионные планы с установленными взносами</w:t>
            </w:r>
            <w:r w:rsidRPr="001618FB">
              <w:rPr>
                <w:rFonts w:ascii="Times New Roman" w:eastAsia="Times New Roman" w:hAnsi="Times New Roman" w:cs="Times New Roman"/>
                <w:color w:val="626262"/>
                <w:sz w:val="20"/>
              </w:rPr>
              <w:t> </w:t>
            </w:r>
            <w:r w:rsidRPr="001618FB">
              <w:rPr>
                <w:rFonts w:ascii="Times New Roman" w:eastAsia="Times New Roman" w:hAnsi="Times New Roman" w:cs="Times New Roman"/>
                <w:color w:val="626262"/>
                <w:sz w:val="20"/>
                <w:szCs w:val="20"/>
              </w:rPr>
              <w:t xml:space="preserve">- это планы пенсионного обеспечения, в соответствии с которыми размеры пенсий, подлежащих выплате, определяются на основе взносов в пенсионный фонд и </w:t>
            </w:r>
            <w:r w:rsidRPr="001618FB">
              <w:rPr>
                <w:rFonts w:ascii="Times New Roman" w:eastAsia="Times New Roman" w:hAnsi="Times New Roman" w:cs="Times New Roman"/>
                <w:color w:val="626262"/>
                <w:sz w:val="20"/>
                <w:szCs w:val="20"/>
              </w:rPr>
              <w:lastRenderedPageBreak/>
              <w:t>последующих инвестиционных доходов.</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i/>
                <w:iCs/>
                <w:color w:val="626262"/>
                <w:sz w:val="20"/>
              </w:rPr>
              <w:t>Пенсионные планы с установленными выплатами</w:t>
            </w:r>
            <w:r w:rsidRPr="001618FB">
              <w:rPr>
                <w:rFonts w:ascii="Times New Roman" w:eastAsia="Times New Roman" w:hAnsi="Times New Roman" w:cs="Times New Roman"/>
                <w:color w:val="626262"/>
                <w:sz w:val="20"/>
              </w:rPr>
              <w:t> </w:t>
            </w:r>
            <w:r w:rsidRPr="001618FB">
              <w:rPr>
                <w:rFonts w:ascii="Times New Roman" w:eastAsia="Times New Roman" w:hAnsi="Times New Roman" w:cs="Times New Roman"/>
                <w:color w:val="626262"/>
                <w:sz w:val="20"/>
                <w:szCs w:val="20"/>
              </w:rPr>
              <w:t>- это планы пенсионного обеспечения, в соответствии с которыми размеры пенсий, подлежащих выплате, определяются по формуле, в основе которой обычно лежит размер вознаграждения, получаемого работником и/или выслуга лет.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i/>
                <w:iCs/>
                <w:color w:val="626262"/>
                <w:sz w:val="20"/>
              </w:rPr>
              <w:t>Фондирование</w:t>
            </w:r>
            <w:r w:rsidRPr="001618FB">
              <w:rPr>
                <w:rFonts w:ascii="Times New Roman" w:eastAsia="Times New Roman" w:hAnsi="Times New Roman" w:cs="Times New Roman"/>
                <w:color w:val="626262"/>
                <w:sz w:val="20"/>
              </w:rPr>
              <w:t> </w:t>
            </w:r>
            <w:r w:rsidRPr="001618FB">
              <w:rPr>
                <w:rFonts w:ascii="Times New Roman" w:eastAsia="Times New Roman" w:hAnsi="Times New Roman" w:cs="Times New Roman"/>
                <w:color w:val="626262"/>
                <w:sz w:val="20"/>
                <w:szCs w:val="20"/>
              </w:rPr>
              <w:t>- это перевод активов другому предприятию (</w:t>
            </w:r>
            <w:r w:rsidRPr="001618FB">
              <w:rPr>
                <w:rFonts w:ascii="Times New Roman" w:eastAsia="Times New Roman" w:hAnsi="Times New Roman" w:cs="Times New Roman"/>
                <w:i/>
                <w:iCs/>
                <w:color w:val="626262"/>
                <w:sz w:val="20"/>
              </w:rPr>
              <w:t>фонду</w:t>
            </w:r>
            <w:r w:rsidRPr="001618FB">
              <w:rPr>
                <w:rFonts w:ascii="Times New Roman" w:eastAsia="Times New Roman" w:hAnsi="Times New Roman" w:cs="Times New Roman"/>
                <w:color w:val="626262"/>
                <w:sz w:val="20"/>
                <w:szCs w:val="20"/>
              </w:rPr>
              <w:t>), независимому от предприятия работодателя, для покрытия будущих обязательств по выплате пенсий.</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В настоящем стандарте также используются следующие термины:</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i/>
                <w:iCs/>
                <w:color w:val="626262"/>
                <w:sz w:val="20"/>
              </w:rPr>
              <w:t>Участники</w:t>
            </w:r>
            <w:r w:rsidRPr="001618FB">
              <w:rPr>
                <w:rFonts w:ascii="Times New Roman" w:eastAsia="Times New Roman" w:hAnsi="Times New Roman" w:cs="Times New Roman"/>
                <w:color w:val="626262"/>
                <w:sz w:val="20"/>
              </w:rPr>
              <w:t> </w:t>
            </w:r>
            <w:r w:rsidRPr="001618FB">
              <w:rPr>
                <w:rFonts w:ascii="Times New Roman" w:eastAsia="Times New Roman" w:hAnsi="Times New Roman" w:cs="Times New Roman"/>
                <w:color w:val="626262"/>
                <w:sz w:val="20"/>
                <w:szCs w:val="20"/>
              </w:rPr>
              <w:t>- это члены пенсионного плана, а также другие лица, имеющие право на получение выплат по этому плану.</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i/>
                <w:iCs/>
                <w:color w:val="626262"/>
                <w:sz w:val="20"/>
              </w:rPr>
              <w:t>Чистые активы пенсионного плана, служащие источником выплат</w:t>
            </w:r>
            <w:r w:rsidRPr="001618FB">
              <w:rPr>
                <w:rFonts w:ascii="Times New Roman" w:eastAsia="Times New Roman" w:hAnsi="Times New Roman" w:cs="Times New Roman"/>
                <w:color w:val="626262"/>
                <w:sz w:val="20"/>
              </w:rPr>
              <w:t> </w:t>
            </w:r>
            <w:r w:rsidRPr="001618FB">
              <w:rPr>
                <w:rFonts w:ascii="Times New Roman" w:eastAsia="Times New Roman" w:hAnsi="Times New Roman" w:cs="Times New Roman"/>
                <w:color w:val="626262"/>
                <w:sz w:val="20"/>
                <w:szCs w:val="20"/>
              </w:rPr>
              <w:t>- это активы пенсионного плана за вычетом обязательств, отличных от актуарной приведенной стоимости причитающихся пенсионных выплат.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i/>
                <w:iCs/>
                <w:color w:val="626262"/>
                <w:sz w:val="20"/>
              </w:rPr>
              <w:t>Актуарная приведенная стоимость причитающихся пенсионных выплат</w:t>
            </w:r>
            <w:r w:rsidRPr="001618FB">
              <w:rPr>
                <w:rFonts w:ascii="Times New Roman" w:eastAsia="Times New Roman" w:hAnsi="Times New Roman" w:cs="Times New Roman"/>
                <w:color w:val="626262"/>
                <w:sz w:val="20"/>
              </w:rPr>
              <w:t> </w:t>
            </w:r>
            <w:r w:rsidRPr="001618FB">
              <w:rPr>
                <w:rFonts w:ascii="Times New Roman" w:eastAsia="Times New Roman" w:hAnsi="Times New Roman" w:cs="Times New Roman"/>
                <w:color w:val="626262"/>
                <w:sz w:val="20"/>
                <w:szCs w:val="20"/>
              </w:rPr>
              <w:t>- это приведенная стоимость ожидаемых выплат по пенсионному плану, причитающихся вышедшим на пенсию и работающим сотрудникам, исходя из уже предоставленных ими услуг.</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i/>
                <w:iCs/>
                <w:color w:val="626262"/>
                <w:sz w:val="20"/>
              </w:rPr>
              <w:t>Безусловные выплаты</w:t>
            </w:r>
            <w:r w:rsidRPr="001618FB">
              <w:rPr>
                <w:rFonts w:ascii="Times New Roman" w:eastAsia="Times New Roman" w:hAnsi="Times New Roman" w:cs="Times New Roman"/>
                <w:color w:val="626262"/>
                <w:sz w:val="20"/>
              </w:rPr>
              <w:t> </w:t>
            </w:r>
            <w:r w:rsidRPr="001618FB">
              <w:rPr>
                <w:rFonts w:ascii="Times New Roman" w:eastAsia="Times New Roman" w:hAnsi="Times New Roman" w:cs="Times New Roman"/>
                <w:color w:val="626262"/>
                <w:sz w:val="20"/>
                <w:szCs w:val="20"/>
              </w:rPr>
              <w:t>- это выплаты, право на получение которых согласно условиям пенсионного плана не зависит от продолжения трудовых отношений.</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9              Некоторые пенсионные планы имеют спонсоров, не являющихся работодателями. Настоящий стандарт применяется также к финансовой отчетности таких планов.</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10           Большинство пенсионных планов основывается на официально заключенных договорах. Некоторые планы носят неформальный характер, но приобретают некоторую степень обязательности в результате принятой работодателями практики работы. Хотя некоторые пенсионные планы позволяют работодателям ограничить обязательства по этим планам, аннулирование пенсионного плана, как правило, затруднено, т. к. работодатели хотят сохранить работников. К неформальным пенсионным планам применяются те же методы учета и отчетности, что и к формальным планам.</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11           Многие пенсионные планы предусматривают учреждение отдельных фондов, в которые производятся взносы и из которых осуществляются выплаты. Такие фонды могут находиться под управлением лиц, которые осуществляют независимое управление активами фондов. В некоторых странах эти лица именуются доверительными управляющими. Термин «доверительный управляющий» используется в настоящем стандарте применительно к таким лицам независимо от того, имеет ли место формальное создание доверительного фонда (траста).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12           Пенсионные планы обычно являются пенсионными планами с установленными взносами или пенсионными планами с установленными выплатами, каждый из которых имеет свои отличительные особенности. Иногда могут существовать планы, обладающие свойствами обоих вариантов. В рамках настоящего стандарта такие смешанные планы рассматриваются как пенсионные планы с установленными выплатами.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 </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b/>
                <w:bCs/>
                <w:color w:val="626262"/>
                <w:sz w:val="20"/>
              </w:rPr>
              <w:t>Пенсионные планы с установленными взносами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13           Финансовая отчетность пенсионного плана с установленными взносами включает отчет о чистых активах пенсионного плана, служащих источником выплат, и описание политики фондирования плана.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 xml:space="preserve">14           В пенсионном плане с установленными взносами размер будущих выплат участникам определяется взносами работодателя, самого участника, или обеих сторон в пенсионный фонд, а также эффективностью операционной деятельности и инвестиционными доходами фонда. Выполнение обязательств работодателя обычно ограничивается взносами в пенсионный фонд. Консультация актуария, как правило, не требуется, хотя иногда она используется для оценки размеров будущих выплат, которые могут быть обеспечены </w:t>
            </w:r>
            <w:r w:rsidRPr="001618FB">
              <w:rPr>
                <w:rFonts w:ascii="Times New Roman" w:eastAsia="Times New Roman" w:hAnsi="Times New Roman" w:cs="Times New Roman"/>
                <w:color w:val="626262"/>
                <w:sz w:val="20"/>
                <w:szCs w:val="20"/>
              </w:rPr>
              <w:lastRenderedPageBreak/>
              <w:t>исходя из текущих взносов и различных уровней будущих взносов и инвестиционных доходов.</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15           Участники заинтересованы в деятельности плана, потому что она непосредственно влияет на уровень их будущих выплат. Участники также заинтересованы в информации о том, поступили ли взносы в пенсионный фонд и осуществляется ли надлежащий контроль для защиты прав бенефициаров. Работодатель, в свою очередь, заинтересован в эффективной и добросовестной деятельности плана.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16           Цель отчетности пенсионного плана с установленными взносами состоит в периодическом предоставлении информации о плане и результатах его инвестиционной деятельности. Обычно эта цель достигается путем предоставления финансовой отчетности, которая содержит следующую информацию:</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(a)           описание значительной деятельности за период и влияния любых изменений, относящихся к плану, членству в нем, срокам и условиям;</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(b)           отчеты об операциях и результатах инвестиционной деятельности за период, а также о финансовом положении плана по состоянию на конец периода;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(c)           описание инвестиционной политики.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Пенсионные планы с установленными выплатами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17           Финансовая отчетность пенсионного плана с установленными выплатами включает один из указанных ниже отчетов:</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(a)           отчет, показывающий:</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            чистые активы пенсионного плана, служащие источником выплат;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(ii)           актуарную приведенную стоимость причитающихся пенсионных выплат, с разделением на безусловные и небезусловные выплаты;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(iii)         итоговое превышение или дефицит; или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(b)           отчет о чистых активах пенсионного плана, служащих источником выплат, включающий одно из двух:</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            примечание, показывающее актуарную приведенную стоимость причитающихся пенсионных выплат, с разделением на безусловные и небезусловные выплаты; или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(ii)           ссылку на эту информацию в прилагаемом отчете актуария.</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Если актуарная оценка не была подготовлена на дату составления финансовой отчетности, в качестве основы используется самая последняя из имеющихся оценок, с указанием даты ее выполнения.</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18           В контексте пункта 17, актуарная приведенная стоимость причитающихся пенсионных выплат основывается на выплатах, причитающихся работникам в соответствии с условиями плана за услуги, предоставленные к данному моменту, с использованием в расчетах либо текущих, либо прогнозируемых уровней заработной платы и с раскрытием используемого метода. Также раскрывается воздействие любых изменений в актуарных допущениях, оказавших значительное влияние на актуарную приведенную стоимость причитающихся пенсионных выплат.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19           Финансовая отчетность поясняет взаимосвязь между актуарной приведенной стоимостью причитающихся пенсионных выплат и чистыми активами пенсионного плана, служащими источником выплат, а также политику фондирования причитающихся выплат.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20           В пенсионном плане с установленными выплатами величина причитающихся пенсионных выплат зависит от финансового положения плана и способности вкладчиков в будущем производить в него взносы, а также от результатов инвестиционной деятельности и эффективности операционной деятельности плана.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lastRenderedPageBreak/>
              <w:t>21           Пенсионный план с установленными выплатами периодически нуждается в консультации актуария для оценки финансового состояния плана, проверки актуарных допущений и получения рекомендаций в отношении уровней будущих взносов.</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22           Цель отчетности пенсионного плана с установленными выплатами состоит в периодическом предоставлении информации о финансовых ресурсах и деятельности плана, которая может быть полезна при оценке взаимосвязи между накоплением ресурсов и выплатами плана с течением времени. Обычно эта цель достигается путем предоставления финансовой отчетности, которая содержит следующую информацию:</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(a)           описание значительной деятельности за период и влияния любых изменений, относящихся к плану, членству в нем, срокам и условиям;</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(b)           отчеты об операциях и результатах инвестиционной деятельности за период, а также о финансовом положении плана по состоянию на конец периода;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(c)           актуарную информацию, представленную либо как часть отчетности, либо в виде отдельного отчета;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(d)           описание инвестиционной политики.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Актуарная приведенная стоимость причитающихся пенсионных выплат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23           Приведенная стоимость ожидаемых выплат по пенсионному плану может рассчитываться и представляться в отчетности либо на основе текущих уровней заработной платы, либо на основе прогнозируемых уровней заработной платы до момента выхода на пенсию участников плана.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24           Основания, в соответствии с которыми предпочтение отдается методу, опирающемуся на текущий уровень заработной платы:</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(a)           актуарная приведенная стоимость причитающихся пенсионных выплат, являясь суммой величин, приходящихся в настоящий момент на долю каждого участника плана, может быть рассчитана более объективно, чем по прогнозируемым уровням заработной платы, поскольку содержит меньше допущений;</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(b)           увеличения выплат, связанные с увеличением заработной платы, становятся обязательством пенсионного плана в момент увеличения заработной платы;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(c)           сумма актуарной приведенной стоимости причитающихся пенсионных выплат, опирающаяся на текущие уровни заработной платы, в основном, более тесно увязана с суммой, подлежащей выплате в случае выхода участника из плана или прекращения деятельности плана.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25           Основания, в соответствии с которыми предпочтение отдается методу, опирающемуся на прогнозируемый уровень заработной платы:</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(a)           финансовая информация должна быть подготовлена на основе принципа непрерывности деятельности предприятия, независимо от необходимых допущений и расчетов;</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(b)           для планов, использующих принцип последней заработной платы, размер выплаты определяется исходя из заработной платы в момент выхода на пенсию или незадолго до выхода на пенсию, поэтому размеры заработной платы, уровни вкладов и нормы доходности должны прогнозироваться;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(c)           неспособность включить прогнозируемые размеры заработной платы, когда большая часть фондирования пенсионного фонда опирается на эти значения, может привести к отражению в отчетности чрезмерного фондирования, в то время как фактически этого не происходит, или же отчетность будет показывать достаточный уровень фондирования, когда план фактически фондируется недостаточно.</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 xml:space="preserve">26           Актуарная приведенная стоимость причитающихся пенсионных выплат, основанная на текущем уровне заработной платы, раскрывается в финансовой отчетности пенсионного плана с тем, чтобы показать обязательства по заработанным выплатам по состоянию на дату составления финансовой отчетности. Актуарная приведенная стоимость причитающихся пенсионных выплат, основанная на прогнозируемом </w:t>
            </w:r>
            <w:r w:rsidRPr="001618FB">
              <w:rPr>
                <w:rFonts w:ascii="Times New Roman" w:eastAsia="Times New Roman" w:hAnsi="Times New Roman" w:cs="Times New Roman"/>
                <w:color w:val="626262"/>
                <w:sz w:val="20"/>
                <w:szCs w:val="20"/>
              </w:rPr>
              <w:lastRenderedPageBreak/>
              <w:t>уровне заработной платы, раскрывается с целью отражения величины потенциального обязательства на основе принципа непрерывности деятельности предприятия, который, как правило, является основой фондирования. Помимо раскрытия актуарной приведенной стоимости причитающихся пенсионных выплат, может потребоваться развернутое объяснение для того, чтобы четко показать контекст, в котором эта актуарная приведенная стоимость должна восприниматься. Такое объяснение может иметь форму информации о достаточности планируемого будущего фондирования пенсионного плана и о политике фондирования, основанной на прогнозах размеров заработной платы. Эта информация может включаться в финансовую отчетность или в отчет актуария.</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 </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b/>
                <w:bCs/>
                <w:color w:val="626262"/>
                <w:sz w:val="20"/>
              </w:rPr>
              <w:t>Частота проведения актуарных оценок</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27           Во многих странах актуарные оценки проводятся не чаще одного раза в три года. Если актуарная оценка не была подготовлена на дату составления финансовой отчетности, в качестве основы используется самая последняя из имеющихся оценок, с указанием даты ее выполнения.</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 </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b/>
                <w:bCs/>
                <w:color w:val="626262"/>
                <w:sz w:val="20"/>
              </w:rPr>
              <w:t>Содержание финансовой отчетности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28           Для пенсионных планов с установленными выплатами информация показывается в одном из следующих форматов, которые отражают различные сложившиеся на практике методы раскрытия и представления актуарных данных:</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(a)           в финансовую отчетность включается отчет, показывающий чистые активы пенсионного плана, служащие источником выплат, актуарную приведенную стоимость причитающихся пенсионных выплат и итоговое превышение или дефицит. Финансовая отчетность пенсионного плана также содержит отчеты об изменениях в чистых активах пенсионного плана, служащих источником выплат, и изменениях актуарной приведенной стоимости причитающихся пенсионных выплат. К финансовой отчетности может прилагаться отдельный актуарный отчет с обоснованием актуарной приведенной стоимости причитающихся пенсионных выплат;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(b)           финансовая отчетность, которая включает отчет о чистых активах пенсионного плана, служащих источником выплат, и отчет об изменениях в чистых активах пенсионного плана, служащих источником выплат. Актуарная приведенная стоимость причитающихся пенсионных выплат раскрывается в примечании к отчетам. К финансовой отчетности может прилагаться отчет актуария с обоснованием актуарной приведенной стоимости причитающихся пенсионных выплат;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(c)           финансовая отчетность, которая включает отчет о чистых активах пенсионного плана, служащих источником выплат, и отчет об изменениях в чистых активах пенсионного плана, служащих источником выплат, актуарная приведенная стоимость причитающихся пенсионных выплат представляется в отдельном отчете актуария.</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В каждом формате финансовая отчетность также может сопровождаться отчетом доверительных управляющих, представленным по принципу отчета руководства или директоров, и инвестиционным отчетом.</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29           Сторонники применения форматов, описанных в пунктах 28 (а) 28 (б), полагают, что количественное выражение причитающихся пенсионных выплат и другая информация, представляемая на основе таких подходов, помогает пользователям оценить текущее состояние плана и вероятность выполнения обязательств по нему. Они также считают, что финансовая отчетность должна быть полной сама по себе и не должна опираться на прилагаемые отчеты. Однако, как полагают некоторые специалисты, описанный в пункте 28 (а) формат может создать впечатление того, что обязательство существует, тогда как, по их мнению, актуарная приведенная стоимость причитающихся пенсионных выплат не обладает всеми характеристиками обязательства.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 xml:space="preserve">30           Сторонники применения формата, описанного в пункте 28 (в), считают, что актуарная приведенная стоимость причитающихся пенсионных выплат не должна включаться в отчет о чистых активах пенсионного плана, служащих источником выплат, как это предусмотрено форматом, описанным в пункте </w:t>
            </w:r>
            <w:r w:rsidRPr="001618FB">
              <w:rPr>
                <w:rFonts w:ascii="Times New Roman" w:eastAsia="Times New Roman" w:hAnsi="Times New Roman" w:cs="Times New Roman"/>
                <w:color w:val="626262"/>
                <w:sz w:val="20"/>
                <w:szCs w:val="20"/>
              </w:rPr>
              <w:lastRenderedPageBreak/>
              <w:t>28 (а), или даже просто раскрываться в примечании, согласно формату, представленному в пункте 28 (б), потому что она будет сравниваться непосредственно с активами плана, а такое сопоставление может быть необоснованно. Они утверждают, что актуарии могут и не сравнивать актуарную приведенную стоимость причитающихся пенсионных выплат с рыночной стоимостью инвестиций, вместо этого они могут оценивать приведенную стоимость потоков денежных средств, ожидаемых от инвестиций. Поэтому сторонники этого формата полагают, что такое сравнение вряд ли отражает общую оценку плана актуарием, и она может быть неправильно понята. Некоторые также считают, что информация о причитающихся пенсионных выплатах, независимо от того, представлена ли она в числовом выражении, должна содержаться только в отдельном актуарном отчете, который может содержать надлежащее разъяснение.</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31           Настоящий стандарт принимает точку зрения, разрешающую раскрытие информации относительно причитающихся пенсионных выплат в отдельном отчете актуария. Стандарт отвергает аргументы против числового выражения актуарной приведенной стоимости причитающихся пенсионных выплат. Соответственно, настоящий стандарт рассматривает форматы, описанные в пунктах 28 (а) и 28 (б), в качестве приемлемых, как и формат, описанный в пункте 28 (в), если финансовая отчетность содержит ссылку на отчет актуария и сопровождается этим отчетом, содержащим актуарную приведенную стоимость причитающихся пенсионных выплат.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 </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b/>
                <w:bCs/>
                <w:color w:val="626262"/>
                <w:sz w:val="20"/>
              </w:rPr>
              <w:t>Все планы</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b/>
                <w:bCs/>
                <w:color w:val="626262"/>
                <w:sz w:val="20"/>
              </w:rPr>
              <w:t>Оценка активов плана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32           Инвестиции пенсионного плана учитываются по справедливой стоимости. Справедливой стоимостью рыночных ценных бумаг является их рыночная стоимость. При наличии инвестиций пенсионного плана, справедливую стоимость которых оценить невозможно, раскрывается причина, по которой справедливая стоимость не используется.</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33           В качестве справедливой стоимости рыночных ценных бумаг обычно принимают их рыночную стоимость как наиболее подходящую меру оценки ценных бумаг на дату составления отчетности и результатов инвестиционной деятельности за период. Ценные бумаги, которые имеют фиксированную стоимость погашения и были приобретены для соответствия обязательствам плана или конкретным частям обязательств, могут учитываться по величине, основанной на их конечной стоимости погашения, предполагая постоянную норму доходности до наступления срока погашения. В тех случаях, когда нет возможности рассчитать справедливую стоимость инвестиций пенсионного плана, таких, например, как полное владение предприятием, в отчетности раскрывается причина, по которой справедливая стоимость не используется. Для инвестиций, которые учитываются по величине, отличной от рыночной или справедливой стоимости, справедливая стоимость, как правило, также раскрывается. Активы, используемые в операционной деятельности фонда, учитываются в порядке, изложенном в соответствующих стандартах.</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 </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b/>
                <w:bCs/>
                <w:color w:val="626262"/>
                <w:sz w:val="20"/>
              </w:rPr>
              <w:t>Раскрытие информации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34           Финансовая отчетность пенсионного плана, с установленными выплатами или с установленными взносами, содержит также следующую информацию:</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(a)           отчет об изменениях в чистых активах пенсионного плана, служащих источником выплат;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(b)           краткое изложение основных принципов учетной политики;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(c)           описание плана и влияния любых изменений в плане в течение периода.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35           Финансовая отчетность, которую предоставляют пенсионные планы, включает следующую информацию (где применимо):</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(a)           отчет о чистых активах пенсионного плана, служащих источником выплат, с раскрытием следующей информации: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lastRenderedPageBreak/>
              <w:t>(i)            активы по состоянию на конец периода, классифицированные соответствующим образом;</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(ii)           метод оценки активов;</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(iii)          сведения о каждой отдельной инвестиции, превышающей либо 5 % чистых активов пенсионного плана, служащих источником выплат, либо 5 % от общей стоимости ценных бумаг любого класса или типа;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(iv)          сведения о каждой инвестиции в работодателя;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(v)           обязательства, отличные от актуарной приведенной стоимости причитающихся пенсионных выплат;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(b)           отчет об изменениях в чистых активах пенсионного плана, служащих источником выплат, с представлением следующей информации: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            взносы работодателей;</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(ii)           взносы работников;</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(iii)          инвестиционный доход, например, проценты и дивиденды;</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(iv)          прочий доход;</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(v)           выплаты, оплаченные или подлежащие оплате (представленные по категориям, например: пенсии по старости, выплаты в случае смерти, нетрудоспособности, а также единовременные выплаты);</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(vi)          административные расходы;</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(vii)         прочие расходы;</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(viii)        налоги на прибыль;</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(ix)          прибыль и убытки от реализации инвестиций и изменения в стоимости инвестиций;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(x)           переводы из других планов и в другие планы;</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(c)           описание политики фондирования пенсионного фонда;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(d)           для пенсионных планов с установленными выплатами - актуарная приведенная стоимость причитающихся пенсионных выплат (которые могут разделяться на безусловные и небезусловные выплаты), основанная на пенсиях, причитающихся в соответствии с условиями плана, на стоимости предоставленных к данному моменту услуг и использовании либо текущих уровней заработной платы, либо прогнозируемых уровней; эта информация может включаться в прилагаемый отчет актуария, предназначенный для прочтения вместе с соответствующей финансовой отчетностью;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(e)           для пенсионных планов с установленными выплатами - описание сделанных значительных актуарных допущений и применяемого метода расчета актуарной приведенной стоимости причитающихся пенсионных выплат.</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36           Отчет пенсионного плана содержит описание плана, либо как часть финансовой отчетности, либо в качестве отдельного отчета. Он может включать следующую информацию:</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(a)           названия работодателей и групп работников, охваченных данным планом;</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(b)           количество участников, получающих выплаты, и количество прочих участников, классифицированных соответствующим образом;</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lastRenderedPageBreak/>
              <w:t>(c)           тип плана - план с установленными взносами или план с установленными выплатами;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(d)           примечание, указывающее, делают ли взносы участники плана;</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(e)           описание пенсионных выплат, причитающихся участникам;</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(f)            описание каждого из условий выхода участника из плана; и</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(g)           изменения по пунктам от (а) до (е) в течение периода, охваченного отчетом.</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Обычной практикой являются ссылки на другие документы, доступные для пользователей, в которых дается описание пенсионного плана, при этом в отчетность включается информация только о последующих изменениях.</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 </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b/>
                <w:bCs/>
                <w:color w:val="626262"/>
                <w:sz w:val="20"/>
              </w:rPr>
              <w:t>Дата вступления в силу</w:t>
            </w:r>
          </w:p>
          <w:p w:rsidR="001618FB" w:rsidRPr="001618FB" w:rsidRDefault="001618FB" w:rsidP="001618FB">
            <w:pPr>
              <w:spacing w:before="100" w:beforeAutospacing="1" w:after="100" w:afterAutospacing="1" w:line="240" w:lineRule="auto"/>
              <w:jc w:val="both"/>
              <w:rPr>
                <w:rFonts w:ascii="Times New Roman" w:eastAsia="Times New Roman" w:hAnsi="Times New Roman" w:cs="Times New Roman"/>
                <w:color w:val="626262"/>
                <w:sz w:val="20"/>
                <w:szCs w:val="20"/>
              </w:rPr>
            </w:pPr>
            <w:r w:rsidRPr="001618FB">
              <w:rPr>
                <w:rFonts w:ascii="Times New Roman" w:eastAsia="Times New Roman" w:hAnsi="Times New Roman" w:cs="Times New Roman"/>
                <w:color w:val="626262"/>
                <w:sz w:val="20"/>
                <w:szCs w:val="20"/>
              </w:rPr>
              <w:t>37           Настоящий стандарт должен применяться в отношении финансовой отчетности пенсионных планов, охватывающей периоды, начинающиеся 1 января 1988 года или после этой даты.</w:t>
            </w:r>
          </w:p>
        </w:tc>
      </w:tr>
    </w:tbl>
    <w:p w:rsidR="006F6E52" w:rsidRPr="001618FB" w:rsidRDefault="006F6E52" w:rsidP="001618FB"/>
    <w:sectPr w:rsidR="006F6E52" w:rsidRPr="001618FB"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77BD"/>
    <w:rsid w:val="00101A1B"/>
    <w:rsid w:val="001618FB"/>
    <w:rsid w:val="00162B21"/>
    <w:rsid w:val="00167FB4"/>
    <w:rsid w:val="00175766"/>
    <w:rsid w:val="001A6745"/>
    <w:rsid w:val="001B6F9E"/>
    <w:rsid w:val="002A1B80"/>
    <w:rsid w:val="002E64BF"/>
    <w:rsid w:val="00337CBE"/>
    <w:rsid w:val="00414E79"/>
    <w:rsid w:val="004626DC"/>
    <w:rsid w:val="00490AB4"/>
    <w:rsid w:val="005775F0"/>
    <w:rsid w:val="005F6A19"/>
    <w:rsid w:val="006C2C0F"/>
    <w:rsid w:val="006F6E52"/>
    <w:rsid w:val="00721B96"/>
    <w:rsid w:val="00753C9F"/>
    <w:rsid w:val="008F3FEC"/>
    <w:rsid w:val="00997004"/>
    <w:rsid w:val="00997D6E"/>
    <w:rsid w:val="009C2EE4"/>
    <w:rsid w:val="00A168AB"/>
    <w:rsid w:val="00AB0337"/>
    <w:rsid w:val="00AE7E73"/>
    <w:rsid w:val="00B944CD"/>
    <w:rsid w:val="00BB1376"/>
    <w:rsid w:val="00C54A8E"/>
    <w:rsid w:val="00D4347A"/>
    <w:rsid w:val="00E75E7B"/>
    <w:rsid w:val="00E96763"/>
    <w:rsid w:val="00EF7C7F"/>
    <w:rsid w:val="00F451D9"/>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3661</Words>
  <Characters>20868</Characters>
  <Application>Microsoft Office Word</Application>
  <DocSecurity>0</DocSecurity>
  <Lines>173</Lines>
  <Paragraphs>48</Paragraphs>
  <ScaleCrop>false</ScaleCrop>
  <Company>Reanimator Extreme Edition</Company>
  <LinksUpToDate>false</LinksUpToDate>
  <CharactersWithSpaces>24481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21</cp:revision>
  <dcterms:created xsi:type="dcterms:W3CDTF">2011-10-20T06:09:00Z</dcterms:created>
  <dcterms:modified xsi:type="dcterms:W3CDTF">2011-10-20T10:22:00Z</dcterms:modified>
</cp:coreProperties>
</file>