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BB1376" w:rsidTr="00BB1376">
        <w:trPr>
          <w:trHeight w:val="570"/>
          <w:tblCellSpacing w:w="0" w:type="dxa"/>
        </w:trPr>
        <w:tc>
          <w:tcPr>
            <w:tcW w:w="0" w:type="auto"/>
            <w:vAlign w:val="center"/>
            <w:hideMark/>
          </w:tcPr>
          <w:p w:rsidR="00BB1376" w:rsidRDefault="00BB1376" w:rsidP="00BB1376">
            <w:pPr>
              <w:rPr>
                <w:color w:val="626262"/>
                <w:sz w:val="27"/>
                <w:szCs w:val="27"/>
              </w:rPr>
            </w:pPr>
            <w:r>
              <w:rPr>
                <w:color w:val="626262"/>
                <w:sz w:val="27"/>
                <w:szCs w:val="27"/>
              </w:rPr>
              <w:t>Международный стандарт финансовой отчетности (IAS) 39 «Финансовые инструменты: признание и измерение»</w:t>
            </w:r>
          </w:p>
        </w:tc>
      </w:tr>
      <w:tr w:rsidR="00BB1376" w:rsidTr="00BB1376">
        <w:trPr>
          <w:tblCellSpacing w:w="0" w:type="dxa"/>
        </w:trPr>
        <w:tc>
          <w:tcPr>
            <w:tcW w:w="0" w:type="auto"/>
            <w:vAlign w:val="center"/>
            <w:hideMark/>
          </w:tcPr>
          <w:p w:rsidR="00BB1376" w:rsidRDefault="00BB1376" w:rsidP="00BB1376">
            <w:pPr>
              <w:jc w:val="both"/>
              <w:rPr>
                <w:color w:val="626262"/>
                <w:sz w:val="20"/>
                <w:szCs w:val="20"/>
              </w:rPr>
            </w:pPr>
            <w:r>
              <w:rPr>
                <w:rStyle w:val="a4"/>
                <w:color w:val="626262"/>
                <w:sz w:val="20"/>
                <w:szCs w:val="20"/>
              </w:rPr>
              <w:t>Международный стандарт финансовой отчетности (IAS) 39 «Финансовые инструменты:  признание и измерение»</w:t>
            </w:r>
          </w:p>
          <w:p w:rsidR="00BB1376" w:rsidRDefault="00BB1376" w:rsidP="00BB1376">
            <w:pPr>
              <w:pStyle w:val="a3"/>
              <w:jc w:val="both"/>
              <w:rPr>
                <w:color w:val="626262"/>
                <w:sz w:val="20"/>
                <w:szCs w:val="20"/>
              </w:rPr>
            </w:pPr>
            <w:r>
              <w:rPr>
                <w:rStyle w:val="a4"/>
                <w:color w:val="626262"/>
                <w:sz w:val="20"/>
                <w:szCs w:val="20"/>
              </w:rPr>
              <w:t>Цель</w:t>
            </w:r>
          </w:p>
          <w:p w:rsidR="00BB1376" w:rsidRDefault="00BB1376" w:rsidP="00BB1376">
            <w:pPr>
              <w:pStyle w:val="a3"/>
              <w:jc w:val="both"/>
              <w:rPr>
                <w:color w:val="626262"/>
                <w:sz w:val="20"/>
                <w:szCs w:val="20"/>
              </w:rPr>
            </w:pPr>
            <w:r>
              <w:rPr>
                <w:color w:val="626262"/>
                <w:sz w:val="20"/>
                <w:szCs w:val="20"/>
              </w:rPr>
              <w:t>1              Целью настоящего стандарта является установление принципов признания и оценки финансовых активов, финансовых обязательств и некоторых контрактов по покупке или продаже нефинансовых статей. Требования по представлению информации о финансовых инструментах содержатся в МСФО (IAS) 32</w:t>
            </w:r>
            <w:r>
              <w:rPr>
                <w:rStyle w:val="a5"/>
                <w:color w:val="626262"/>
                <w:sz w:val="20"/>
                <w:szCs w:val="20"/>
              </w:rPr>
              <w:t>«Финансовые инструменты: представление информации"</w:t>
            </w:r>
            <w:r>
              <w:rPr>
                <w:color w:val="626262"/>
                <w:sz w:val="20"/>
                <w:szCs w:val="20"/>
              </w:rPr>
              <w:t>. Требования по раскрытию информации о финансовых инструментах содержатся в МСФО (IFRS) 7</w:t>
            </w:r>
            <w:r>
              <w:rPr>
                <w:rStyle w:val="apple-converted-space"/>
                <w:color w:val="626262"/>
                <w:sz w:val="20"/>
                <w:szCs w:val="20"/>
              </w:rPr>
              <w:t> </w:t>
            </w:r>
            <w:r>
              <w:rPr>
                <w:rStyle w:val="a5"/>
                <w:color w:val="626262"/>
                <w:sz w:val="20"/>
                <w:szCs w:val="20"/>
              </w:rPr>
              <w:t>"Финансовые инструменты: раскрытие информации"</w:t>
            </w:r>
            <w:r>
              <w:rPr>
                <w:color w:val="626262"/>
                <w:sz w:val="20"/>
                <w:szCs w:val="20"/>
              </w:rPr>
              <w:t>.</w:t>
            </w:r>
          </w:p>
          <w:p w:rsidR="00BB1376" w:rsidRDefault="00BB1376" w:rsidP="00BB1376">
            <w:pPr>
              <w:pStyle w:val="a3"/>
              <w:jc w:val="both"/>
              <w:rPr>
                <w:color w:val="626262"/>
                <w:sz w:val="20"/>
                <w:szCs w:val="20"/>
              </w:rPr>
            </w:pPr>
            <w:r>
              <w:rPr>
                <w:color w:val="626262"/>
                <w:sz w:val="20"/>
                <w:szCs w:val="20"/>
              </w:rPr>
              <w:t> </w:t>
            </w:r>
          </w:p>
          <w:p w:rsidR="00BB1376" w:rsidRDefault="00BB1376" w:rsidP="00BB1376">
            <w:pPr>
              <w:pStyle w:val="a3"/>
              <w:jc w:val="both"/>
              <w:rPr>
                <w:color w:val="626262"/>
                <w:sz w:val="20"/>
                <w:szCs w:val="20"/>
              </w:rPr>
            </w:pPr>
            <w:r>
              <w:rPr>
                <w:rStyle w:val="a4"/>
                <w:color w:val="626262"/>
                <w:sz w:val="20"/>
                <w:szCs w:val="20"/>
              </w:rPr>
              <w:t>Сфера применения</w:t>
            </w:r>
          </w:p>
          <w:p w:rsidR="00BB1376" w:rsidRDefault="00BB1376" w:rsidP="00BB1376">
            <w:pPr>
              <w:pStyle w:val="a3"/>
              <w:jc w:val="both"/>
              <w:rPr>
                <w:color w:val="626262"/>
                <w:sz w:val="20"/>
                <w:szCs w:val="20"/>
              </w:rPr>
            </w:pPr>
            <w:r>
              <w:rPr>
                <w:color w:val="626262"/>
                <w:sz w:val="20"/>
                <w:szCs w:val="20"/>
              </w:rPr>
              <w:t>2              Настоящий стандарт должен применяться всеми предприятиями ко всем типам финансовых инструментов за исключением:</w:t>
            </w:r>
          </w:p>
          <w:p w:rsidR="00BB1376" w:rsidRDefault="00BB1376" w:rsidP="00BB1376">
            <w:pPr>
              <w:pStyle w:val="a3"/>
              <w:jc w:val="both"/>
              <w:rPr>
                <w:color w:val="626262"/>
                <w:sz w:val="20"/>
                <w:szCs w:val="20"/>
              </w:rPr>
            </w:pPr>
            <w:r>
              <w:rPr>
                <w:color w:val="626262"/>
                <w:sz w:val="20"/>
                <w:szCs w:val="20"/>
              </w:rPr>
              <w:t>(а)           долей участия в дочерних и ассоциированных предприятиях, а также в совместном предпринимательстве, которые учитываются в соответствии с МСФО (IAS) 27</w:t>
            </w:r>
            <w:r>
              <w:rPr>
                <w:rStyle w:val="apple-converted-space"/>
                <w:color w:val="626262"/>
                <w:sz w:val="20"/>
                <w:szCs w:val="20"/>
              </w:rPr>
              <w:t> </w:t>
            </w:r>
            <w:r>
              <w:rPr>
                <w:rStyle w:val="a5"/>
                <w:color w:val="626262"/>
                <w:sz w:val="20"/>
                <w:szCs w:val="20"/>
              </w:rPr>
              <w:t>«Консолидированная и отдельная финансовая отчетность»</w:t>
            </w:r>
            <w:r>
              <w:rPr>
                <w:color w:val="626262"/>
                <w:sz w:val="20"/>
                <w:szCs w:val="20"/>
              </w:rPr>
              <w:t>, МСФО (IAS) 28</w:t>
            </w:r>
            <w:r>
              <w:rPr>
                <w:rStyle w:val="apple-converted-space"/>
                <w:color w:val="626262"/>
                <w:sz w:val="20"/>
                <w:szCs w:val="20"/>
              </w:rPr>
              <w:t> </w:t>
            </w:r>
            <w:r>
              <w:rPr>
                <w:rStyle w:val="a5"/>
                <w:color w:val="626262"/>
                <w:sz w:val="20"/>
                <w:szCs w:val="20"/>
              </w:rPr>
              <w:t>«Инвестиции в ассоциированные предприятия»</w:t>
            </w:r>
            <w:r>
              <w:rPr>
                <w:rStyle w:val="apple-converted-space"/>
                <w:color w:val="626262"/>
                <w:sz w:val="20"/>
                <w:szCs w:val="20"/>
              </w:rPr>
              <w:t> </w:t>
            </w:r>
            <w:r>
              <w:rPr>
                <w:color w:val="626262"/>
                <w:sz w:val="20"/>
                <w:szCs w:val="20"/>
              </w:rPr>
              <w:t>или МСФО (IAS) 31</w:t>
            </w:r>
            <w:r>
              <w:rPr>
                <w:rStyle w:val="apple-converted-space"/>
                <w:color w:val="626262"/>
                <w:sz w:val="20"/>
                <w:szCs w:val="20"/>
              </w:rPr>
              <w:t> </w:t>
            </w:r>
            <w:r>
              <w:rPr>
                <w:rStyle w:val="a5"/>
                <w:color w:val="626262"/>
                <w:sz w:val="20"/>
                <w:szCs w:val="20"/>
              </w:rPr>
              <w:t>«Участие в совместном предпринимательстве»</w:t>
            </w:r>
            <w:r>
              <w:rPr>
                <w:color w:val="626262"/>
                <w:sz w:val="20"/>
                <w:szCs w:val="20"/>
              </w:rPr>
              <w:t>. Тем не менее, предприятиям следует применять настоящий стандарт к долям участия в совместном предпринимательстве, дочерних или ассоциированных предприятиях, которые в соответствии с МСФО (IAS) 27, МСФО (IAS) 28 или МСФО (IAS) 31 учитываются согласно настоящему стандарту. Предприятия также должны применять настоящий стандарт к производным инструментам на доли участия в совместном предпринимательстве, дочернем или ассоциированном предприятии за исключением случаев, когда производный инструмент соответствует определению долевого инструмента предприятия, данному в МСФО (IAS) 32.</w:t>
            </w:r>
          </w:p>
          <w:p w:rsidR="00BB1376" w:rsidRDefault="00BB1376" w:rsidP="00BB1376">
            <w:pPr>
              <w:pStyle w:val="a3"/>
              <w:jc w:val="both"/>
              <w:rPr>
                <w:color w:val="626262"/>
                <w:sz w:val="20"/>
                <w:szCs w:val="20"/>
              </w:rPr>
            </w:pPr>
            <w:r>
              <w:rPr>
                <w:color w:val="626262"/>
                <w:sz w:val="20"/>
                <w:szCs w:val="20"/>
              </w:rPr>
              <w:t>(b)           прав и обязательств по договорам аренды, к которым применяется МСФО (IAS) 17</w:t>
            </w:r>
            <w:r>
              <w:rPr>
                <w:rStyle w:val="apple-converted-space"/>
                <w:color w:val="626262"/>
                <w:sz w:val="20"/>
                <w:szCs w:val="20"/>
              </w:rPr>
              <w:t> </w:t>
            </w:r>
            <w:r>
              <w:rPr>
                <w:rStyle w:val="a5"/>
                <w:color w:val="626262"/>
                <w:sz w:val="20"/>
                <w:szCs w:val="20"/>
              </w:rPr>
              <w:t>"Аренда"</w:t>
            </w:r>
            <w:r>
              <w:rPr>
                <w:color w:val="626262"/>
                <w:sz w:val="20"/>
                <w:szCs w:val="20"/>
              </w:rPr>
              <w:t>. Однако:</w:t>
            </w:r>
          </w:p>
          <w:p w:rsidR="00BB1376" w:rsidRDefault="00BB1376" w:rsidP="00BB1376">
            <w:pPr>
              <w:pStyle w:val="a3"/>
              <w:jc w:val="both"/>
              <w:rPr>
                <w:color w:val="626262"/>
                <w:sz w:val="20"/>
                <w:szCs w:val="20"/>
              </w:rPr>
            </w:pPr>
            <w:r>
              <w:rPr>
                <w:color w:val="626262"/>
                <w:sz w:val="20"/>
                <w:szCs w:val="20"/>
              </w:rPr>
              <w:t>(i)            к дебиторской задолженности по аренде, признанной арендодателем, применяются положения настоящего стандарта по прекращению признания и обесценению (см. параграфы 15-37, 58, 59, 63-65 и параграфы AG36-AG52 и AG84-AG93 приложения А);</w:t>
            </w:r>
          </w:p>
          <w:p w:rsidR="00BB1376" w:rsidRDefault="00BB1376" w:rsidP="00BB1376">
            <w:pPr>
              <w:pStyle w:val="a3"/>
              <w:jc w:val="both"/>
              <w:rPr>
                <w:color w:val="626262"/>
                <w:sz w:val="20"/>
                <w:szCs w:val="20"/>
              </w:rPr>
            </w:pPr>
            <w:r>
              <w:rPr>
                <w:color w:val="626262"/>
                <w:sz w:val="20"/>
                <w:szCs w:val="20"/>
              </w:rPr>
              <w:t>(ii)           к кредиторской задолженности по финансовой аренде, признанной арендатором, применяются положения настоящего стандарта по прекращению признания (см. параграфы 39-42 и параграфы AG57-AG63 приложения А);</w:t>
            </w:r>
          </w:p>
          <w:p w:rsidR="00BB1376" w:rsidRDefault="00BB1376" w:rsidP="00BB1376">
            <w:pPr>
              <w:pStyle w:val="a3"/>
              <w:jc w:val="both"/>
              <w:rPr>
                <w:color w:val="626262"/>
                <w:sz w:val="20"/>
                <w:szCs w:val="20"/>
              </w:rPr>
            </w:pPr>
            <w:r>
              <w:rPr>
                <w:color w:val="626262"/>
                <w:sz w:val="20"/>
                <w:szCs w:val="20"/>
              </w:rPr>
              <w:t>(iii)         к встроенным в договор аренды производным инструментам применяются положения настоящего стандарта, относящиеся к встроенным производным инструментам (см. параграфы 10-13 и параграфы AG27-AG33 приложения А).</w:t>
            </w:r>
          </w:p>
          <w:p w:rsidR="00BB1376" w:rsidRDefault="00BB1376" w:rsidP="00BB1376">
            <w:pPr>
              <w:pStyle w:val="a3"/>
              <w:jc w:val="both"/>
              <w:rPr>
                <w:color w:val="626262"/>
                <w:sz w:val="20"/>
                <w:szCs w:val="20"/>
              </w:rPr>
            </w:pPr>
            <w:r>
              <w:rPr>
                <w:color w:val="626262"/>
                <w:sz w:val="20"/>
                <w:szCs w:val="20"/>
              </w:rPr>
              <w:t>(c)           прав и обязательств работодателей по планам вознаграждения работникам, к которым применяется МСФО (IAS) 19</w:t>
            </w:r>
            <w:r>
              <w:rPr>
                <w:rStyle w:val="apple-converted-space"/>
                <w:color w:val="626262"/>
                <w:sz w:val="20"/>
                <w:szCs w:val="20"/>
              </w:rPr>
              <w:t> </w:t>
            </w:r>
            <w:r>
              <w:rPr>
                <w:rStyle w:val="a5"/>
                <w:color w:val="626262"/>
                <w:sz w:val="20"/>
                <w:szCs w:val="20"/>
              </w:rPr>
              <w:t>«Вознаграждения работникам»</w:t>
            </w:r>
            <w:r>
              <w:rPr>
                <w:color w:val="626262"/>
                <w:sz w:val="20"/>
                <w:szCs w:val="20"/>
              </w:rPr>
              <w:t>.</w:t>
            </w:r>
          </w:p>
          <w:p w:rsidR="00BB1376" w:rsidRDefault="00BB1376" w:rsidP="00BB1376">
            <w:pPr>
              <w:pStyle w:val="a3"/>
              <w:jc w:val="both"/>
              <w:rPr>
                <w:color w:val="626262"/>
                <w:sz w:val="20"/>
                <w:szCs w:val="20"/>
              </w:rPr>
            </w:pPr>
            <w:r>
              <w:rPr>
                <w:color w:val="626262"/>
                <w:sz w:val="20"/>
                <w:szCs w:val="20"/>
              </w:rPr>
              <w:t>(d)           финансовых инструментов, выпущенных предприятием, которые соответствуют определению долевого инструмента, данному в МСФО (IAS) 32 (включая опционы и варранты). Однако владелец таких долевых инструментов должен применять настоящий стандарт к этим инструментам, кроме случаев, когда они являются исключением в соответствии с вышеуказанным пунктом (а);</w:t>
            </w:r>
          </w:p>
          <w:p w:rsidR="00BB1376" w:rsidRDefault="00BB1376" w:rsidP="00BB1376">
            <w:pPr>
              <w:pStyle w:val="a3"/>
              <w:jc w:val="both"/>
              <w:rPr>
                <w:color w:val="626262"/>
                <w:sz w:val="20"/>
                <w:szCs w:val="20"/>
              </w:rPr>
            </w:pPr>
            <w:r>
              <w:rPr>
                <w:color w:val="626262"/>
                <w:sz w:val="20"/>
                <w:szCs w:val="20"/>
              </w:rPr>
              <w:t>(e)           права и обязательства, возникающие по (i) договору страхования в соответствии с определением в МСФО (IFRS) 4</w:t>
            </w:r>
            <w:r>
              <w:rPr>
                <w:rStyle w:val="apple-converted-space"/>
                <w:color w:val="626262"/>
                <w:sz w:val="20"/>
                <w:szCs w:val="20"/>
              </w:rPr>
              <w:t> </w:t>
            </w:r>
            <w:r>
              <w:rPr>
                <w:rStyle w:val="a5"/>
                <w:color w:val="626262"/>
                <w:sz w:val="20"/>
                <w:szCs w:val="20"/>
              </w:rPr>
              <w:t>«Договоры страхования»</w:t>
            </w:r>
            <w:r>
              <w:rPr>
                <w:color w:val="626262"/>
                <w:sz w:val="20"/>
                <w:szCs w:val="20"/>
              </w:rPr>
              <w:t xml:space="preserve">, за исключением прав и обязательств эмитента, возникающих по </w:t>
            </w:r>
            <w:r>
              <w:rPr>
                <w:color w:val="626262"/>
                <w:sz w:val="20"/>
                <w:szCs w:val="20"/>
              </w:rPr>
              <w:lastRenderedPageBreak/>
              <w:t>договору страхования, который соответствует определению договора финансовой гарантии в пункте 9, или (ii) договору, входящему в сферу применения МСФО (IFRS) 4 ввиду того, что он содержит в себе возможность участия по усмотрению. Тем не менее, настоящий стандарт применяется к производному инструменту, встроенному в договор, входящий в сферу применения МСФО (IFRS) 4, если производный инструмент сам не является договором, входящим в сферу применения МСФО (IFRS) 4 (см. пункты 10-13 и пункты AG27-AG33 приложения A настоящего стандарта). Кроме того, если эмитент договоров финансовой гарантий ранее прямо утверждал, что он рассматривает такие договоры в качестве договоров страхования, и использовал порядок учета, применимый к договорам страхования, эмитент может по своему усмотрению применять к таким договорам финансовой гарантии либо настоящий стандарт, либо МСФО (IFRS) 4 (см. пункты AG4 и AG4A). Эмитент может принимать такое решение в отношении каждого отдельного договора, однако решение, принятое по каждому договору, не может быть отозвано.</w:t>
            </w:r>
          </w:p>
          <w:p w:rsidR="00BB1376" w:rsidRDefault="00BB1376" w:rsidP="00BB1376">
            <w:pPr>
              <w:pStyle w:val="a3"/>
              <w:jc w:val="both"/>
              <w:rPr>
                <w:color w:val="626262"/>
                <w:sz w:val="20"/>
                <w:szCs w:val="20"/>
              </w:rPr>
            </w:pPr>
            <w:r>
              <w:rPr>
                <w:color w:val="626262"/>
                <w:sz w:val="20"/>
                <w:szCs w:val="20"/>
              </w:rPr>
              <w:t>(f)            договоров об условном вознаграждении при объединении бизнеса (см. МСФО (IFRS) 3</w:t>
            </w:r>
            <w:r>
              <w:rPr>
                <w:rStyle w:val="a5"/>
                <w:color w:val="626262"/>
                <w:sz w:val="20"/>
                <w:szCs w:val="20"/>
              </w:rPr>
              <w:t>«Объединения бизнеса»)</w:t>
            </w:r>
            <w:r>
              <w:rPr>
                <w:color w:val="626262"/>
                <w:sz w:val="20"/>
                <w:szCs w:val="20"/>
              </w:rPr>
              <w:t>. Это исключение применяется только к покупателю.</w:t>
            </w:r>
          </w:p>
          <w:p w:rsidR="00BB1376" w:rsidRDefault="00BB1376" w:rsidP="00BB1376">
            <w:pPr>
              <w:pStyle w:val="a3"/>
              <w:jc w:val="both"/>
              <w:rPr>
                <w:color w:val="626262"/>
                <w:sz w:val="20"/>
                <w:szCs w:val="20"/>
              </w:rPr>
            </w:pPr>
            <w:r>
              <w:rPr>
                <w:color w:val="626262"/>
                <w:sz w:val="20"/>
                <w:szCs w:val="20"/>
              </w:rPr>
              <w:t>(g)           договоров между покупателем и продавцом при объединении бизнеса на покупку или продажу приобретаемого предприятия на будущую дату;</w:t>
            </w:r>
          </w:p>
          <w:p w:rsidR="00BB1376" w:rsidRDefault="00BB1376" w:rsidP="00BB1376">
            <w:pPr>
              <w:pStyle w:val="a3"/>
              <w:jc w:val="both"/>
              <w:rPr>
                <w:color w:val="626262"/>
                <w:sz w:val="20"/>
                <w:szCs w:val="20"/>
              </w:rPr>
            </w:pPr>
            <w:r>
              <w:rPr>
                <w:color w:val="626262"/>
                <w:sz w:val="20"/>
                <w:szCs w:val="20"/>
              </w:rPr>
              <w:t>(h)           обязательства по займам, за исключением обязательств по займам, описанных в пункте 4. Эмитент обязательств по займам должен применять МСФО (IAS) 37 к обязательствам по займам, не входящим в сферу применения настоящего стандарта. Тем не менее, положения настоящего стандарта по прекращению признания (см. пункты 15-42 и пункты AG36-AG63 приложения А) применяются ко всем обязательствам по займам.</w:t>
            </w:r>
          </w:p>
          <w:p w:rsidR="00BB1376" w:rsidRDefault="00BB1376" w:rsidP="00BB1376">
            <w:pPr>
              <w:pStyle w:val="a3"/>
              <w:jc w:val="both"/>
              <w:rPr>
                <w:color w:val="626262"/>
                <w:sz w:val="20"/>
                <w:szCs w:val="20"/>
              </w:rPr>
            </w:pPr>
            <w:r>
              <w:rPr>
                <w:color w:val="626262"/>
                <w:sz w:val="20"/>
                <w:szCs w:val="20"/>
              </w:rPr>
              <w:t>(i)            финансовых инструментов, договоров и обязательств в операциях платежа, основанного на акциях, к которым применяется МСФО (IFRS) 2</w:t>
            </w:r>
            <w:r>
              <w:rPr>
                <w:rStyle w:val="apple-converted-space"/>
                <w:color w:val="626262"/>
                <w:sz w:val="20"/>
                <w:szCs w:val="20"/>
              </w:rPr>
              <w:t> </w:t>
            </w:r>
            <w:r>
              <w:rPr>
                <w:rStyle w:val="a5"/>
                <w:color w:val="626262"/>
                <w:sz w:val="20"/>
                <w:szCs w:val="20"/>
              </w:rPr>
              <w:t>«Платеж, основанный на акциях»</w:t>
            </w:r>
            <w:r>
              <w:rPr>
                <w:color w:val="626262"/>
                <w:sz w:val="20"/>
                <w:szCs w:val="20"/>
              </w:rPr>
              <w:t>, за исключением договоров, входящих в сферу применения параграфов 5-7 настоящего стандарта, к которым применяется настоящий стандарт.</w:t>
            </w:r>
          </w:p>
          <w:p w:rsidR="00BB1376" w:rsidRDefault="00BB1376" w:rsidP="00BB1376">
            <w:pPr>
              <w:pStyle w:val="a3"/>
              <w:jc w:val="both"/>
              <w:rPr>
                <w:color w:val="626262"/>
                <w:sz w:val="20"/>
                <w:szCs w:val="20"/>
              </w:rPr>
            </w:pPr>
            <w:r>
              <w:rPr>
                <w:color w:val="626262"/>
                <w:sz w:val="20"/>
                <w:szCs w:val="20"/>
              </w:rPr>
              <w:t>(j)            права на получение платежей, компенсирующих предприятию затраты, необходимые для урегулирования обязательства, которое предприятие признало в качестве оценочного обязательства в соответствии с МСФО (IAS) 37</w:t>
            </w:r>
            <w:r>
              <w:rPr>
                <w:rStyle w:val="apple-converted-space"/>
                <w:color w:val="626262"/>
                <w:sz w:val="20"/>
                <w:szCs w:val="20"/>
              </w:rPr>
              <w:t> </w:t>
            </w:r>
            <w:r>
              <w:rPr>
                <w:rStyle w:val="a5"/>
                <w:color w:val="626262"/>
                <w:sz w:val="20"/>
                <w:szCs w:val="20"/>
              </w:rPr>
              <w:t>«Оценочные обязательства, условные обязательства и условные активы»</w:t>
            </w:r>
            <w:r>
              <w:rPr>
                <w:color w:val="626262"/>
                <w:sz w:val="20"/>
                <w:szCs w:val="20"/>
              </w:rPr>
              <w:t>или в отношении которого предприятие признало оценочные резервы в более раннем периоде в соответствии с МСФО (IAS) 37.</w:t>
            </w:r>
          </w:p>
          <w:p w:rsidR="00BB1376" w:rsidRDefault="00BB1376" w:rsidP="00BB1376">
            <w:pPr>
              <w:pStyle w:val="a3"/>
              <w:jc w:val="both"/>
              <w:rPr>
                <w:color w:val="626262"/>
                <w:sz w:val="20"/>
                <w:szCs w:val="20"/>
              </w:rPr>
            </w:pPr>
            <w:r>
              <w:rPr>
                <w:color w:val="626262"/>
                <w:sz w:val="20"/>
                <w:szCs w:val="20"/>
              </w:rPr>
              <w:t>3              [Удален]</w:t>
            </w:r>
          </w:p>
          <w:p w:rsidR="00BB1376" w:rsidRDefault="00BB1376" w:rsidP="00BB1376">
            <w:pPr>
              <w:pStyle w:val="a3"/>
              <w:jc w:val="both"/>
              <w:rPr>
                <w:color w:val="626262"/>
                <w:sz w:val="20"/>
                <w:szCs w:val="20"/>
              </w:rPr>
            </w:pPr>
            <w:r>
              <w:rPr>
                <w:color w:val="626262"/>
                <w:sz w:val="20"/>
                <w:szCs w:val="20"/>
              </w:rPr>
              <w:t>4              В сферу применения настоящего стандарта входят следующие обязательства по займам:</w:t>
            </w:r>
          </w:p>
          <w:p w:rsidR="00BB1376" w:rsidRDefault="00BB1376" w:rsidP="00BB1376">
            <w:pPr>
              <w:pStyle w:val="a3"/>
              <w:jc w:val="both"/>
              <w:rPr>
                <w:color w:val="626262"/>
                <w:sz w:val="20"/>
                <w:szCs w:val="20"/>
              </w:rPr>
            </w:pPr>
            <w:r>
              <w:rPr>
                <w:color w:val="626262"/>
                <w:sz w:val="20"/>
                <w:szCs w:val="20"/>
              </w:rPr>
              <w:t>(а)           обязательства по займам, которые предприятие классифицирует в качестве финансовых обязательств, учитываемых по справедливой стоимости через прибыль или убыток. Предприятие, у которого имелась практика продажи активов, возникающих в результате обязательств по займам, вскоре после предоставления таких займов, должны применять настоящий стандарт ко всем своим обязательствам по займам, относящимся к одному и тому же виду.</w:t>
            </w:r>
          </w:p>
          <w:p w:rsidR="00BB1376" w:rsidRDefault="00BB1376" w:rsidP="00BB1376">
            <w:pPr>
              <w:pStyle w:val="a3"/>
              <w:jc w:val="both"/>
              <w:rPr>
                <w:color w:val="626262"/>
                <w:sz w:val="20"/>
                <w:szCs w:val="20"/>
              </w:rPr>
            </w:pPr>
            <w:r>
              <w:rPr>
                <w:color w:val="626262"/>
                <w:sz w:val="20"/>
                <w:szCs w:val="20"/>
              </w:rPr>
              <w:t>(b)           обязательства по займам, по которым возможен нетто-расчет с использованием денежных средств или путем поставки или выпуска другого финансового инструмента. Такие обязательства по займам представляют собой производные инструменты. Нетто-расчет по обязательству по займу не считается произведенным только в силу того, что заем выплачивается регулярными взносами (например, заем на ипотечное строительство, выплачиваемый по частям по мере осуществления строительства).</w:t>
            </w:r>
          </w:p>
          <w:p w:rsidR="00BB1376" w:rsidRDefault="00BB1376" w:rsidP="00BB1376">
            <w:pPr>
              <w:pStyle w:val="a3"/>
              <w:jc w:val="both"/>
              <w:rPr>
                <w:color w:val="626262"/>
                <w:sz w:val="20"/>
                <w:szCs w:val="20"/>
              </w:rPr>
            </w:pPr>
            <w:r>
              <w:rPr>
                <w:color w:val="626262"/>
                <w:sz w:val="20"/>
                <w:szCs w:val="20"/>
              </w:rPr>
              <w:t>(c)           обязательства по предоставлению займа по процентной ставке ниже рыночной. В пункте 47(d) указан порядок последующего измерения обязательств, возникающих в результате таких обязательств по займам.</w:t>
            </w:r>
          </w:p>
          <w:p w:rsidR="00BB1376" w:rsidRDefault="00BB1376" w:rsidP="00BB1376">
            <w:pPr>
              <w:pStyle w:val="a3"/>
              <w:jc w:val="both"/>
              <w:rPr>
                <w:color w:val="626262"/>
                <w:sz w:val="20"/>
                <w:szCs w:val="20"/>
              </w:rPr>
            </w:pPr>
            <w:r>
              <w:rPr>
                <w:color w:val="626262"/>
                <w:sz w:val="20"/>
                <w:szCs w:val="20"/>
              </w:rPr>
              <w:t xml:space="preserve">5              Настоящий стандарт следует применять к тем договорам на покупку или продажу нефинансовых статей, по которым может быть произведен нетто-расчет с помощью денежных средств или другого финансового инструмента, или путем обмена финансовыми инструментами, как если бы эти договоры были финансовыми инструментами. Исключением являются договоры, заключенные и удерживаемые с целью получения или поставки нефинансовой статьи в соответствии с ожидаемыми потребностями предприятия в </w:t>
            </w:r>
            <w:r>
              <w:rPr>
                <w:color w:val="626262"/>
                <w:sz w:val="20"/>
                <w:szCs w:val="20"/>
              </w:rPr>
              <w:lastRenderedPageBreak/>
              <w:t>закупках, продажах или потреблении.</w:t>
            </w:r>
          </w:p>
          <w:p w:rsidR="00BB1376" w:rsidRDefault="00BB1376" w:rsidP="00BB1376">
            <w:pPr>
              <w:pStyle w:val="a3"/>
              <w:jc w:val="both"/>
              <w:rPr>
                <w:color w:val="626262"/>
                <w:sz w:val="20"/>
                <w:szCs w:val="20"/>
              </w:rPr>
            </w:pPr>
            <w:r>
              <w:rPr>
                <w:color w:val="626262"/>
                <w:sz w:val="20"/>
                <w:szCs w:val="20"/>
              </w:rPr>
              <w:t>6              Существуют различные способы, с помощью которых может быть произведен нетто-расчет денежными средствами или другим финансовым инструментом, или путем обмена финансовыми инструментами, по договору на покупку или продажу нефинансовой статьи. Они включают:</w:t>
            </w:r>
          </w:p>
          <w:p w:rsidR="00BB1376" w:rsidRDefault="00BB1376" w:rsidP="00BB1376">
            <w:pPr>
              <w:pStyle w:val="a3"/>
              <w:jc w:val="both"/>
              <w:rPr>
                <w:color w:val="626262"/>
                <w:sz w:val="20"/>
                <w:szCs w:val="20"/>
              </w:rPr>
            </w:pPr>
            <w:r>
              <w:rPr>
                <w:color w:val="626262"/>
                <w:sz w:val="20"/>
                <w:szCs w:val="20"/>
              </w:rPr>
              <w:t>(а)           разрешение по условиям договора любой стороне произвести нетто-расчет денежными средствами или другим финансовым инструментом, или путем обмена финансовыми инструментами;</w:t>
            </w:r>
          </w:p>
          <w:p w:rsidR="00BB1376" w:rsidRDefault="00BB1376" w:rsidP="00BB1376">
            <w:pPr>
              <w:pStyle w:val="a3"/>
              <w:jc w:val="both"/>
              <w:rPr>
                <w:color w:val="626262"/>
                <w:sz w:val="20"/>
                <w:szCs w:val="20"/>
              </w:rPr>
            </w:pPr>
            <w:r>
              <w:rPr>
                <w:color w:val="626262"/>
                <w:sz w:val="20"/>
                <w:szCs w:val="20"/>
              </w:rPr>
              <w:t>(b)           наличие у предприятия практики нетто-расчета по аналогичным договорам с помощью денежных средств или другого финансового инструмента, или путем обмена финансовыми инструментами (либо со встречной стороной путем заключения договора по взаимозачету, либо путем продажи договора до его исполнения или прекращения) в случае, когда возможность нетто-расчета денежными средствами или другим финансовым инструментом, или путем обмена финансовыми инструментами четко не определена условиями договора;</w:t>
            </w:r>
          </w:p>
          <w:p w:rsidR="00BB1376" w:rsidRDefault="00BB1376" w:rsidP="00BB1376">
            <w:pPr>
              <w:pStyle w:val="a3"/>
              <w:jc w:val="both"/>
              <w:rPr>
                <w:color w:val="626262"/>
                <w:sz w:val="20"/>
                <w:szCs w:val="20"/>
              </w:rPr>
            </w:pPr>
            <w:r>
              <w:rPr>
                <w:color w:val="626262"/>
                <w:sz w:val="20"/>
                <w:szCs w:val="20"/>
              </w:rPr>
              <w:t>(c)           наличие у предприятия практики работы с аналогичными договорами по получению поставки актива и продажи его в течение короткого периода после поставки с целью получения прибыли от краткосрочных колебаний цены или дилерской наценки; и</w:t>
            </w:r>
          </w:p>
          <w:p w:rsidR="00BB1376" w:rsidRDefault="00BB1376" w:rsidP="00BB1376">
            <w:pPr>
              <w:pStyle w:val="a3"/>
              <w:jc w:val="both"/>
              <w:rPr>
                <w:color w:val="626262"/>
                <w:sz w:val="20"/>
                <w:szCs w:val="20"/>
              </w:rPr>
            </w:pPr>
            <w:r>
              <w:rPr>
                <w:color w:val="626262"/>
                <w:sz w:val="20"/>
                <w:szCs w:val="20"/>
              </w:rPr>
              <w:t>(d)           возможность быстрой конвертации нефинансовой статьи, являющейся предметом договора, в денежные средства.</w:t>
            </w:r>
          </w:p>
          <w:p w:rsidR="00BB1376" w:rsidRDefault="00BB1376" w:rsidP="00BB1376">
            <w:pPr>
              <w:pStyle w:val="a3"/>
              <w:jc w:val="both"/>
              <w:rPr>
                <w:color w:val="626262"/>
                <w:sz w:val="20"/>
                <w:szCs w:val="20"/>
              </w:rPr>
            </w:pPr>
            <w:r>
              <w:rPr>
                <w:color w:val="626262"/>
                <w:sz w:val="20"/>
                <w:szCs w:val="20"/>
              </w:rPr>
              <w:t>Договор, к которому применяются пункты (b) или (с), не заключается с целью получения или поставки нефинансовой статьи в соответствии с ожидаемыми потребностями предприятия в закупках, продажах или потреблении и, следовательно, находится в сфере применения настоящего стандарта. Другие договоры, к которым применяется параграф 5, оцениваются, чтобы определить, были ли они заключены и удерживаются ли они с целью получения или поставки нефинансовой статьи в соответствии с ожидаемыми потребностями предприятия в закупках, продажах или потреблении и, следовательно, находятся ли они в сфере применения настоящего стандарта.</w:t>
            </w:r>
          </w:p>
          <w:p w:rsidR="00BB1376" w:rsidRDefault="00BB1376" w:rsidP="00BB1376">
            <w:pPr>
              <w:pStyle w:val="a3"/>
              <w:jc w:val="both"/>
              <w:rPr>
                <w:color w:val="626262"/>
                <w:sz w:val="20"/>
                <w:szCs w:val="20"/>
              </w:rPr>
            </w:pPr>
            <w:r>
              <w:rPr>
                <w:color w:val="626262"/>
                <w:sz w:val="20"/>
                <w:szCs w:val="20"/>
              </w:rPr>
              <w:t>7              Выпущенный опцион на покупку или продажу нефинансовой статьи, по которому может быть произведен нетто-расчет с помощью денежных средств или другого финансового инструмента, или путем обмена финансовыми инструментами в соответствии с параграфами 6(а) или (d) находится в сфере применения данного стандарта. Такой договор не может быть заключен с целью получения или поставки нефинансовой статьи в соответствии с ожидаемыми потребностями предприятия в закупках, продажах или потреблении.</w:t>
            </w:r>
          </w:p>
          <w:p w:rsidR="00BB1376" w:rsidRDefault="00BB1376" w:rsidP="00BB1376">
            <w:pPr>
              <w:pStyle w:val="a3"/>
              <w:jc w:val="both"/>
              <w:rPr>
                <w:color w:val="626262"/>
                <w:sz w:val="20"/>
                <w:szCs w:val="20"/>
              </w:rPr>
            </w:pPr>
            <w:r>
              <w:rPr>
                <w:color w:val="626262"/>
                <w:sz w:val="20"/>
                <w:szCs w:val="20"/>
              </w:rPr>
              <w:t> </w:t>
            </w:r>
          </w:p>
          <w:p w:rsidR="00BB1376" w:rsidRDefault="00BB1376" w:rsidP="00BB1376">
            <w:pPr>
              <w:pStyle w:val="a3"/>
              <w:jc w:val="both"/>
              <w:rPr>
                <w:color w:val="626262"/>
                <w:sz w:val="20"/>
                <w:szCs w:val="20"/>
              </w:rPr>
            </w:pPr>
            <w:r>
              <w:rPr>
                <w:rStyle w:val="a4"/>
                <w:color w:val="626262"/>
                <w:sz w:val="20"/>
                <w:szCs w:val="20"/>
              </w:rPr>
              <w:t>Определения</w:t>
            </w:r>
          </w:p>
          <w:p w:rsidR="00BB1376" w:rsidRDefault="00BB1376" w:rsidP="00BB1376">
            <w:pPr>
              <w:pStyle w:val="a3"/>
              <w:jc w:val="both"/>
              <w:rPr>
                <w:color w:val="626262"/>
                <w:sz w:val="20"/>
                <w:szCs w:val="20"/>
              </w:rPr>
            </w:pPr>
            <w:r>
              <w:rPr>
                <w:color w:val="626262"/>
                <w:sz w:val="20"/>
                <w:szCs w:val="20"/>
              </w:rPr>
              <w:t>8              Термины, определенные в МСФО (IAS) 32, используются в настоящем стандарте в значениях, указанных в параграфе 11 МСФО (IAS) 32. МСФО (IAS) 32 дает определение следующим терминам:</w:t>
            </w:r>
          </w:p>
          <w:p w:rsidR="00BB1376" w:rsidRDefault="00BB1376" w:rsidP="00BB1376">
            <w:pPr>
              <w:numPr>
                <w:ilvl w:val="0"/>
                <w:numId w:val="1"/>
              </w:numPr>
              <w:spacing w:before="100" w:beforeAutospacing="1" w:after="100" w:afterAutospacing="1" w:line="240" w:lineRule="auto"/>
              <w:jc w:val="both"/>
              <w:rPr>
                <w:color w:val="626262"/>
                <w:sz w:val="20"/>
                <w:szCs w:val="20"/>
              </w:rPr>
            </w:pPr>
            <w:r>
              <w:rPr>
                <w:color w:val="626262"/>
                <w:sz w:val="20"/>
                <w:szCs w:val="20"/>
              </w:rPr>
              <w:t>финансовый инструмент</w:t>
            </w:r>
          </w:p>
          <w:p w:rsidR="00BB1376" w:rsidRDefault="00BB1376" w:rsidP="00BB1376">
            <w:pPr>
              <w:numPr>
                <w:ilvl w:val="0"/>
                <w:numId w:val="1"/>
              </w:numPr>
              <w:spacing w:before="100" w:beforeAutospacing="1" w:after="100" w:afterAutospacing="1" w:line="240" w:lineRule="auto"/>
              <w:jc w:val="both"/>
              <w:rPr>
                <w:color w:val="626262"/>
                <w:sz w:val="20"/>
                <w:szCs w:val="20"/>
              </w:rPr>
            </w:pPr>
            <w:r>
              <w:rPr>
                <w:color w:val="626262"/>
                <w:sz w:val="20"/>
                <w:szCs w:val="20"/>
              </w:rPr>
              <w:t>финансовый актив</w:t>
            </w:r>
          </w:p>
          <w:p w:rsidR="00BB1376" w:rsidRDefault="00BB1376" w:rsidP="00BB1376">
            <w:pPr>
              <w:pStyle w:val="a3"/>
              <w:jc w:val="both"/>
              <w:rPr>
                <w:color w:val="626262"/>
                <w:sz w:val="20"/>
                <w:szCs w:val="20"/>
              </w:rPr>
            </w:pPr>
            <w:r>
              <w:rPr>
                <w:color w:val="626262"/>
                <w:sz w:val="20"/>
                <w:szCs w:val="20"/>
              </w:rPr>
              <w:t> </w:t>
            </w:r>
          </w:p>
          <w:p w:rsidR="00BB1376" w:rsidRDefault="00BB1376" w:rsidP="00BB1376">
            <w:pPr>
              <w:numPr>
                <w:ilvl w:val="0"/>
                <w:numId w:val="2"/>
              </w:numPr>
              <w:spacing w:before="100" w:beforeAutospacing="1" w:after="100" w:afterAutospacing="1" w:line="240" w:lineRule="auto"/>
              <w:jc w:val="both"/>
              <w:rPr>
                <w:color w:val="626262"/>
                <w:sz w:val="20"/>
                <w:szCs w:val="20"/>
              </w:rPr>
            </w:pPr>
            <w:r>
              <w:rPr>
                <w:color w:val="626262"/>
                <w:sz w:val="20"/>
                <w:szCs w:val="20"/>
              </w:rPr>
              <w:t>финансовое обязательство</w:t>
            </w:r>
          </w:p>
          <w:p w:rsidR="00BB1376" w:rsidRDefault="00BB1376" w:rsidP="00BB1376">
            <w:pPr>
              <w:numPr>
                <w:ilvl w:val="0"/>
                <w:numId w:val="2"/>
              </w:numPr>
              <w:spacing w:before="100" w:beforeAutospacing="1" w:after="100" w:afterAutospacing="1" w:line="240" w:lineRule="auto"/>
              <w:jc w:val="both"/>
              <w:rPr>
                <w:color w:val="626262"/>
                <w:sz w:val="20"/>
                <w:szCs w:val="20"/>
              </w:rPr>
            </w:pPr>
            <w:r>
              <w:rPr>
                <w:color w:val="626262"/>
                <w:sz w:val="20"/>
                <w:szCs w:val="20"/>
              </w:rPr>
              <w:t>долевой инструмент</w:t>
            </w:r>
          </w:p>
          <w:p w:rsidR="00BB1376" w:rsidRDefault="00BB1376" w:rsidP="00BB1376">
            <w:pPr>
              <w:pStyle w:val="a3"/>
              <w:jc w:val="both"/>
              <w:rPr>
                <w:color w:val="626262"/>
                <w:sz w:val="20"/>
                <w:szCs w:val="20"/>
              </w:rPr>
            </w:pPr>
            <w:r>
              <w:rPr>
                <w:color w:val="626262"/>
                <w:sz w:val="20"/>
                <w:szCs w:val="20"/>
              </w:rPr>
              <w:t>и предоставляет руководство по применению этих определений.</w:t>
            </w:r>
          </w:p>
          <w:p w:rsidR="00BB1376" w:rsidRDefault="00BB1376" w:rsidP="00BB1376">
            <w:pPr>
              <w:pStyle w:val="a3"/>
              <w:jc w:val="both"/>
              <w:rPr>
                <w:color w:val="626262"/>
                <w:sz w:val="20"/>
                <w:szCs w:val="20"/>
              </w:rPr>
            </w:pPr>
            <w:r>
              <w:rPr>
                <w:color w:val="626262"/>
                <w:sz w:val="20"/>
                <w:szCs w:val="20"/>
              </w:rPr>
              <w:t>9              В настоящем стандарте используются следующие термины в указанных значениях:</w:t>
            </w:r>
          </w:p>
          <w:tbl>
            <w:tblPr>
              <w:tblW w:w="0" w:type="auto"/>
              <w:tblCellSpacing w:w="0" w:type="dxa"/>
              <w:tblCellMar>
                <w:left w:w="0" w:type="dxa"/>
                <w:right w:w="0" w:type="dxa"/>
              </w:tblCellMar>
              <w:tblLook w:val="04A0"/>
            </w:tblPr>
            <w:tblGrid>
              <w:gridCol w:w="8640"/>
              <w:gridCol w:w="6"/>
            </w:tblGrid>
            <w:tr w:rsidR="00BB1376" w:rsidTr="00BB1376">
              <w:trPr>
                <w:trHeight w:val="345"/>
                <w:tblCellSpacing w:w="0" w:type="dxa"/>
              </w:trPr>
              <w:tc>
                <w:tcPr>
                  <w:tcW w:w="8640" w:type="dxa"/>
                  <w:hideMark/>
                </w:tcPr>
                <w:p w:rsidR="00BB1376" w:rsidRDefault="00BB1376">
                  <w:pPr>
                    <w:pStyle w:val="a3"/>
                    <w:rPr>
                      <w:color w:val="626262"/>
                      <w:sz w:val="20"/>
                      <w:szCs w:val="20"/>
                    </w:rPr>
                  </w:pPr>
                  <w:r>
                    <w:rPr>
                      <w:rStyle w:val="a4"/>
                      <w:color w:val="626262"/>
                      <w:sz w:val="20"/>
                      <w:szCs w:val="20"/>
                    </w:rPr>
                    <w:t>Определение производного инструмента</w:t>
                  </w:r>
                </w:p>
              </w:tc>
              <w:tc>
                <w:tcPr>
                  <w:tcW w:w="6" w:type="dxa"/>
                  <w:vAlign w:val="center"/>
                  <w:hideMark/>
                </w:tcPr>
                <w:p w:rsidR="00BB1376" w:rsidRDefault="00BB1376">
                  <w:pPr>
                    <w:jc w:val="both"/>
                    <w:rPr>
                      <w:color w:val="626262"/>
                      <w:sz w:val="20"/>
                      <w:szCs w:val="20"/>
                    </w:rPr>
                  </w:pPr>
                </w:p>
              </w:tc>
            </w:tr>
          </w:tbl>
          <w:p w:rsidR="00BB1376" w:rsidRDefault="00BB1376" w:rsidP="00BB1376">
            <w:pPr>
              <w:pStyle w:val="a3"/>
              <w:jc w:val="both"/>
              <w:rPr>
                <w:color w:val="626262"/>
                <w:sz w:val="20"/>
                <w:szCs w:val="20"/>
              </w:rPr>
            </w:pPr>
            <w:r>
              <w:rPr>
                <w:rStyle w:val="a5"/>
                <w:color w:val="626262"/>
                <w:sz w:val="20"/>
                <w:szCs w:val="20"/>
              </w:rPr>
              <w:lastRenderedPageBreak/>
              <w:t>Производный инструмент</w:t>
            </w:r>
            <w:r>
              <w:rPr>
                <w:rStyle w:val="apple-converted-space"/>
                <w:color w:val="626262"/>
                <w:sz w:val="20"/>
                <w:szCs w:val="20"/>
              </w:rPr>
              <w:t> </w:t>
            </w:r>
            <w:r>
              <w:rPr>
                <w:color w:val="626262"/>
                <w:sz w:val="20"/>
                <w:szCs w:val="20"/>
              </w:rPr>
              <w:t>- финансовый инструмент или другой договор, находящийся в сфере применения настоящего стандарта (см. параграфы 2-7), имеющий три следующие характеристики:</w:t>
            </w:r>
          </w:p>
          <w:p w:rsidR="00BB1376" w:rsidRDefault="00BB1376" w:rsidP="00BB1376">
            <w:pPr>
              <w:pStyle w:val="a3"/>
              <w:jc w:val="both"/>
              <w:rPr>
                <w:color w:val="626262"/>
                <w:sz w:val="20"/>
                <w:szCs w:val="20"/>
              </w:rPr>
            </w:pPr>
            <w:r>
              <w:rPr>
                <w:color w:val="626262"/>
                <w:sz w:val="20"/>
                <w:szCs w:val="20"/>
              </w:rPr>
              <w:t>(а)           его стоимость меняется в результате изменения установленной процентной ставки, цены финансового инструмента, цены товара, обменного курса валют, индекса цен или ставок, кредитного рейтинга или кредитного индекса, или другой переменной, при условии, что в случае с нефинансовой переменной (иногда называемой «базисной») она не является специальной для стороны договора;</w:t>
            </w:r>
          </w:p>
          <w:p w:rsidR="00BB1376" w:rsidRDefault="00BB1376" w:rsidP="00BB1376">
            <w:pPr>
              <w:pStyle w:val="a3"/>
              <w:jc w:val="both"/>
              <w:rPr>
                <w:color w:val="626262"/>
                <w:sz w:val="20"/>
                <w:szCs w:val="20"/>
              </w:rPr>
            </w:pPr>
            <w:r>
              <w:rPr>
                <w:color w:val="626262"/>
                <w:sz w:val="20"/>
                <w:szCs w:val="20"/>
              </w:rPr>
              <w:t>(b)           для него не требуется первоначальной чистой инвестиции или требуется первоначальная чистая инвестиция, меньшая, чем та, которая была бы необходима для других видов договоров, которые, как ожидается, аналогичным образом реагировали бы на изменения рыночных факторов; и</w:t>
            </w:r>
          </w:p>
          <w:p w:rsidR="00BB1376" w:rsidRDefault="00BB1376" w:rsidP="00BB1376">
            <w:pPr>
              <w:pStyle w:val="a3"/>
              <w:jc w:val="both"/>
              <w:rPr>
                <w:color w:val="626262"/>
                <w:sz w:val="20"/>
                <w:szCs w:val="20"/>
              </w:rPr>
            </w:pPr>
            <w:r>
              <w:rPr>
                <w:color w:val="626262"/>
                <w:sz w:val="20"/>
                <w:szCs w:val="20"/>
              </w:rPr>
              <w:t>(c)           расчеты по нему осуществляются в будущем.</w:t>
            </w:r>
          </w:p>
          <w:tbl>
            <w:tblPr>
              <w:tblW w:w="0" w:type="auto"/>
              <w:tblCellSpacing w:w="0" w:type="dxa"/>
              <w:tblCellMar>
                <w:left w:w="0" w:type="dxa"/>
                <w:right w:w="0" w:type="dxa"/>
              </w:tblCellMar>
              <w:tblLook w:val="04A0"/>
            </w:tblPr>
            <w:tblGrid>
              <w:gridCol w:w="8640"/>
              <w:gridCol w:w="6"/>
            </w:tblGrid>
            <w:tr w:rsidR="00BB1376" w:rsidTr="00BB1376">
              <w:trPr>
                <w:trHeight w:val="345"/>
                <w:tblCellSpacing w:w="0" w:type="dxa"/>
              </w:trPr>
              <w:tc>
                <w:tcPr>
                  <w:tcW w:w="8640" w:type="dxa"/>
                  <w:hideMark/>
                </w:tcPr>
                <w:p w:rsidR="00BB1376" w:rsidRDefault="00BB1376">
                  <w:pPr>
                    <w:pStyle w:val="a3"/>
                    <w:rPr>
                      <w:color w:val="626262"/>
                      <w:sz w:val="20"/>
                      <w:szCs w:val="20"/>
                    </w:rPr>
                  </w:pPr>
                  <w:r>
                    <w:rPr>
                      <w:rStyle w:val="a4"/>
                      <w:color w:val="626262"/>
                      <w:sz w:val="20"/>
                      <w:szCs w:val="20"/>
                    </w:rPr>
                    <w:t>Определения четырех категорий финансовых инструментов</w:t>
                  </w:r>
                </w:p>
              </w:tc>
              <w:tc>
                <w:tcPr>
                  <w:tcW w:w="6" w:type="dxa"/>
                  <w:vAlign w:val="center"/>
                  <w:hideMark/>
                </w:tcPr>
                <w:p w:rsidR="00BB1376" w:rsidRDefault="00BB1376">
                  <w:pPr>
                    <w:jc w:val="both"/>
                    <w:rPr>
                      <w:color w:val="626262"/>
                      <w:sz w:val="20"/>
                      <w:szCs w:val="20"/>
                    </w:rPr>
                  </w:pPr>
                </w:p>
              </w:tc>
            </w:tr>
          </w:tbl>
          <w:p w:rsidR="00BB1376" w:rsidRDefault="00BB1376" w:rsidP="00BB1376">
            <w:pPr>
              <w:pStyle w:val="a3"/>
              <w:jc w:val="both"/>
              <w:rPr>
                <w:color w:val="626262"/>
                <w:sz w:val="20"/>
                <w:szCs w:val="20"/>
              </w:rPr>
            </w:pPr>
            <w:r>
              <w:rPr>
                <w:rStyle w:val="a5"/>
                <w:color w:val="626262"/>
                <w:sz w:val="20"/>
                <w:szCs w:val="20"/>
              </w:rPr>
              <w:t>Финансовые активы или финансовые обязательства, учтенные по справедливой стоимости через прибыль или убыток</w:t>
            </w:r>
            <w:r>
              <w:rPr>
                <w:rStyle w:val="apple-converted-space"/>
                <w:color w:val="626262"/>
                <w:sz w:val="20"/>
                <w:szCs w:val="20"/>
              </w:rPr>
              <w:t> </w:t>
            </w:r>
            <w:r>
              <w:rPr>
                <w:color w:val="626262"/>
                <w:sz w:val="20"/>
                <w:szCs w:val="20"/>
              </w:rPr>
              <w:t>- финансовые активы или финансовые обязательства, которые соответствуют одному из следующих условий:</w:t>
            </w:r>
          </w:p>
          <w:p w:rsidR="00BB1376" w:rsidRDefault="00BB1376" w:rsidP="00BB1376">
            <w:pPr>
              <w:pStyle w:val="a3"/>
              <w:jc w:val="both"/>
              <w:rPr>
                <w:color w:val="626262"/>
                <w:sz w:val="20"/>
                <w:szCs w:val="20"/>
              </w:rPr>
            </w:pPr>
            <w:r>
              <w:rPr>
                <w:color w:val="626262"/>
                <w:sz w:val="20"/>
                <w:szCs w:val="20"/>
              </w:rPr>
              <w:t>(а)           классифицируются как предназначенные для торговли. Финансовые активы или финансовые обязательства классифицируются как предназначенные для торговли, если они</w:t>
            </w:r>
          </w:p>
          <w:p w:rsidR="00BB1376" w:rsidRDefault="00BB1376" w:rsidP="00BB1376">
            <w:pPr>
              <w:pStyle w:val="a3"/>
              <w:jc w:val="both"/>
              <w:rPr>
                <w:color w:val="626262"/>
                <w:sz w:val="20"/>
                <w:szCs w:val="20"/>
              </w:rPr>
            </w:pPr>
            <w:r>
              <w:rPr>
                <w:color w:val="626262"/>
                <w:sz w:val="20"/>
                <w:szCs w:val="20"/>
              </w:rPr>
              <w:t>(i)            приобретены или выкуплены, в основном, с целью их продажи или выкупа в ближайшем будущем;</w:t>
            </w:r>
          </w:p>
          <w:p w:rsidR="00BB1376" w:rsidRDefault="00BB1376" w:rsidP="00BB1376">
            <w:pPr>
              <w:pStyle w:val="a3"/>
              <w:jc w:val="both"/>
              <w:rPr>
                <w:color w:val="626262"/>
                <w:sz w:val="20"/>
                <w:szCs w:val="20"/>
              </w:rPr>
            </w:pPr>
            <w:r>
              <w:rPr>
                <w:color w:val="626262"/>
                <w:sz w:val="20"/>
                <w:szCs w:val="20"/>
              </w:rPr>
              <w:t>(ii)           являются частью портфеля идентифицированных финансовых инструментов, управление которыми осуществляется совместно, и недавние операции с которыми свидетельствуют о тенденции к получению краткосрочной прибыли; или</w:t>
            </w:r>
          </w:p>
          <w:p w:rsidR="00BB1376" w:rsidRDefault="00BB1376" w:rsidP="00BB1376">
            <w:pPr>
              <w:pStyle w:val="a3"/>
              <w:jc w:val="both"/>
              <w:rPr>
                <w:color w:val="626262"/>
                <w:sz w:val="20"/>
                <w:szCs w:val="20"/>
              </w:rPr>
            </w:pPr>
            <w:r>
              <w:rPr>
                <w:color w:val="626262"/>
                <w:sz w:val="20"/>
                <w:szCs w:val="20"/>
              </w:rPr>
              <w:t>(iii)         производный инструмент (за исключением производных инструментов, представляющих собой договоры финансовой гарантии или классифицированные и эффективные инструменты хеджирования).</w:t>
            </w:r>
          </w:p>
          <w:p w:rsidR="00BB1376" w:rsidRDefault="00BB1376" w:rsidP="00BB1376">
            <w:pPr>
              <w:pStyle w:val="a3"/>
              <w:jc w:val="both"/>
              <w:rPr>
                <w:color w:val="626262"/>
                <w:sz w:val="20"/>
                <w:szCs w:val="20"/>
              </w:rPr>
            </w:pPr>
            <w:r>
              <w:rPr>
                <w:color w:val="626262"/>
                <w:sz w:val="20"/>
                <w:szCs w:val="20"/>
              </w:rPr>
              <w:t>(b)           При первоначальном признании он классифицируется предприятием как учитываемый по справедливой стоимости через прибыль или убыток. Предприятие может использовать эту классификацию только тогда, когда это разрешено пунктом 11A или это обеспечивает более уместную информацию в связи с тем, что либо</w:t>
            </w:r>
          </w:p>
          <w:p w:rsidR="00BB1376" w:rsidRDefault="00BB1376" w:rsidP="00BB1376">
            <w:pPr>
              <w:pStyle w:val="a3"/>
              <w:jc w:val="both"/>
              <w:rPr>
                <w:color w:val="626262"/>
                <w:sz w:val="20"/>
                <w:szCs w:val="20"/>
              </w:rPr>
            </w:pPr>
            <w:r>
              <w:rPr>
                <w:color w:val="626262"/>
                <w:sz w:val="20"/>
                <w:szCs w:val="20"/>
              </w:rPr>
              <w:t>(i)            ликвидируется или значительно сокращается непоследовательность применения принципов измерения или признания (иногда именуемая «учетным несоответствием»), которая в противном случае возникла бы при измерении активов или обязательств или признании относящихся к ним прибылей и убытков с использованием различных баз; либо</w:t>
            </w:r>
          </w:p>
          <w:p w:rsidR="00BB1376" w:rsidRDefault="00BB1376" w:rsidP="00BB1376">
            <w:pPr>
              <w:pStyle w:val="a3"/>
              <w:jc w:val="both"/>
              <w:rPr>
                <w:color w:val="626262"/>
                <w:sz w:val="20"/>
                <w:szCs w:val="20"/>
              </w:rPr>
            </w:pPr>
            <w:r>
              <w:rPr>
                <w:color w:val="626262"/>
                <w:sz w:val="20"/>
                <w:szCs w:val="20"/>
              </w:rPr>
              <w:t>(ii)           управление группой финансовых активов, группой финансовых обязательств или группой финансовых активов и финансовых обязательств и оценка относящихся к такой группе результатов осуществляются на основе справедливой стоимости в соответствии с задокументированной стратегией управления рисками или инвестиционной стратегией, а ключевым членам руководящего персонала предприятия (в соответствии с определением в МСФО (IAS) 24</w:t>
            </w:r>
            <w:r>
              <w:rPr>
                <w:rStyle w:val="apple-converted-space"/>
                <w:color w:val="626262"/>
                <w:sz w:val="20"/>
                <w:szCs w:val="20"/>
              </w:rPr>
              <w:t> </w:t>
            </w:r>
            <w:r>
              <w:rPr>
                <w:rStyle w:val="a5"/>
                <w:color w:val="626262"/>
                <w:sz w:val="20"/>
                <w:szCs w:val="20"/>
              </w:rPr>
              <w:t>«Раскрытие информации о связанных сторонах»</w:t>
            </w:r>
            <w:r>
              <w:rPr>
                <w:rStyle w:val="apple-converted-space"/>
                <w:color w:val="626262"/>
                <w:sz w:val="20"/>
                <w:szCs w:val="20"/>
              </w:rPr>
              <w:t> </w:t>
            </w:r>
            <w:r>
              <w:rPr>
                <w:color w:val="626262"/>
                <w:sz w:val="20"/>
                <w:szCs w:val="20"/>
              </w:rPr>
              <w:t>(в редакции 2003 г.)), например, совету директоров и генеральному директору предприятия, предоставляется внутренняя информация о такой группе, сформированная на той же основе.</w:t>
            </w:r>
          </w:p>
          <w:p w:rsidR="00BB1376" w:rsidRDefault="00BB1376" w:rsidP="00BB1376">
            <w:pPr>
              <w:pStyle w:val="a3"/>
              <w:jc w:val="both"/>
              <w:rPr>
                <w:color w:val="626262"/>
                <w:sz w:val="20"/>
                <w:szCs w:val="20"/>
              </w:rPr>
            </w:pPr>
            <w:r>
              <w:rPr>
                <w:color w:val="626262"/>
                <w:sz w:val="20"/>
                <w:szCs w:val="20"/>
              </w:rPr>
              <w:t>Согласно пунктам 9-11 и B4 МСФО (IFRS) 7 предприятие обязано раскрывать информацию о финансовых активах и финансовых обязательствах, классифицированных как учитываемые по справедливой стоимости через прибыль или убыток, включая информацию о выполнении этих условий предприятием. Применительно к инструментам, удовлетворяющим критериям вышеизложенного пункта (ii), подлежащая раскрытию информация включает словесное описание того, насколько классификация этих инструментов в качестве учитываемых по справедливой стоимости через прибыль или убыток, соответствует задокументированной стратегии управления рисками или инвестиционной стратегии предприятия.</w:t>
            </w:r>
          </w:p>
          <w:p w:rsidR="00BB1376" w:rsidRDefault="00BB1376" w:rsidP="00BB1376">
            <w:pPr>
              <w:pStyle w:val="a3"/>
              <w:jc w:val="both"/>
              <w:rPr>
                <w:color w:val="626262"/>
                <w:sz w:val="20"/>
                <w:szCs w:val="20"/>
              </w:rPr>
            </w:pPr>
            <w:r>
              <w:rPr>
                <w:color w:val="626262"/>
                <w:sz w:val="20"/>
                <w:szCs w:val="20"/>
              </w:rPr>
              <w:lastRenderedPageBreak/>
              <w:t>Инвестиции в долевые инструменты, которые не имеют рыночных котировок на активном рынке и справедливая стоимость которых не может быть надежно измерена (см. пункт 46(c) и пункты AG80 и AG81приложения A ), не могут быть классифицированы как учитываемые по справедливой стоимости через прибыль или убыток.</w:t>
            </w:r>
          </w:p>
          <w:p w:rsidR="00BB1376" w:rsidRDefault="00BB1376" w:rsidP="00BB1376">
            <w:pPr>
              <w:pStyle w:val="a3"/>
              <w:jc w:val="both"/>
              <w:rPr>
                <w:color w:val="626262"/>
                <w:sz w:val="20"/>
                <w:szCs w:val="20"/>
              </w:rPr>
            </w:pPr>
            <w:r>
              <w:rPr>
                <w:color w:val="626262"/>
                <w:sz w:val="20"/>
                <w:szCs w:val="20"/>
              </w:rPr>
              <w:t>Следует отметить, что пункты 48, 48A, 49, а также пункты AG69-AG82 приложения A, которые устанавливают требования по определению надежного показателя справедливой стоимости финансового актива или финансового обязательства, применяются в равной мере ко всем статьям, которые измеряются по справедливой стоимости на основе классификации или по иным причинам или справедливая стоимость которых подлежит раскрытию.</w:t>
            </w:r>
          </w:p>
          <w:p w:rsidR="00BB1376" w:rsidRDefault="00BB1376" w:rsidP="00BB1376">
            <w:pPr>
              <w:pStyle w:val="a3"/>
              <w:jc w:val="both"/>
              <w:rPr>
                <w:color w:val="626262"/>
                <w:sz w:val="20"/>
                <w:szCs w:val="20"/>
              </w:rPr>
            </w:pPr>
            <w:r>
              <w:rPr>
                <w:rStyle w:val="a5"/>
                <w:color w:val="626262"/>
                <w:sz w:val="20"/>
                <w:szCs w:val="20"/>
              </w:rPr>
              <w:t>Инвестиции, удерживаемые до погашения</w:t>
            </w:r>
            <w:r>
              <w:rPr>
                <w:rStyle w:val="apple-converted-space"/>
                <w:color w:val="626262"/>
                <w:sz w:val="20"/>
                <w:szCs w:val="20"/>
              </w:rPr>
              <w:t> </w:t>
            </w:r>
            <w:r>
              <w:rPr>
                <w:color w:val="626262"/>
                <w:sz w:val="20"/>
                <w:szCs w:val="20"/>
              </w:rPr>
              <w:t>- непроизводные финансовые активы с фиксированными или определимыми платежами и фиксированным сроком погашения, которые предприятие планирует и может удерживать до погашения (см. параграфы AG16-AG25 приложения A), отличные от:</w:t>
            </w:r>
          </w:p>
          <w:p w:rsidR="00BB1376" w:rsidRDefault="00BB1376" w:rsidP="00BB1376">
            <w:pPr>
              <w:pStyle w:val="a3"/>
              <w:jc w:val="both"/>
              <w:rPr>
                <w:color w:val="626262"/>
                <w:sz w:val="20"/>
                <w:szCs w:val="20"/>
              </w:rPr>
            </w:pPr>
            <w:r>
              <w:rPr>
                <w:color w:val="626262"/>
                <w:sz w:val="20"/>
                <w:szCs w:val="20"/>
              </w:rPr>
              <w:t>(а)           активов, которые предприятие после первоначального признания классифицирует как учитываемые по справедливой стоимости через прибыль или убыток;</w:t>
            </w:r>
          </w:p>
          <w:p w:rsidR="00BB1376" w:rsidRDefault="00BB1376" w:rsidP="00BB1376">
            <w:pPr>
              <w:pStyle w:val="a3"/>
              <w:jc w:val="both"/>
              <w:rPr>
                <w:color w:val="626262"/>
                <w:sz w:val="20"/>
                <w:szCs w:val="20"/>
              </w:rPr>
            </w:pPr>
            <w:r>
              <w:rPr>
                <w:color w:val="626262"/>
                <w:sz w:val="20"/>
                <w:szCs w:val="20"/>
              </w:rPr>
              <w:t>(b)           активов, которые предприятие классифицирует как имеющиеся в наличии для продажи; и</w:t>
            </w:r>
          </w:p>
          <w:p w:rsidR="00BB1376" w:rsidRDefault="00BB1376" w:rsidP="00BB1376">
            <w:pPr>
              <w:pStyle w:val="a3"/>
              <w:jc w:val="both"/>
              <w:rPr>
                <w:color w:val="626262"/>
                <w:sz w:val="20"/>
                <w:szCs w:val="20"/>
              </w:rPr>
            </w:pPr>
            <w:r>
              <w:rPr>
                <w:color w:val="626262"/>
                <w:sz w:val="20"/>
                <w:szCs w:val="20"/>
              </w:rPr>
              <w:t>(c)           активов, которые подпадают под определение займов и дебиторской задолженности.</w:t>
            </w:r>
          </w:p>
          <w:p w:rsidR="00BB1376" w:rsidRDefault="00BB1376" w:rsidP="00BB1376">
            <w:pPr>
              <w:pStyle w:val="a3"/>
              <w:jc w:val="both"/>
              <w:rPr>
                <w:color w:val="626262"/>
                <w:sz w:val="20"/>
                <w:szCs w:val="20"/>
              </w:rPr>
            </w:pPr>
            <w:r>
              <w:rPr>
                <w:color w:val="626262"/>
                <w:sz w:val="20"/>
                <w:szCs w:val="20"/>
              </w:rPr>
              <w:t>Предприятие не должно классифицировать какие-либо финансовые активы как удерживаемые до погашения, если предприятие в течение текущего финансового года или в течение двух предшествующих финансовых лет продавало или реклассифицировало до наступления срока погашения инвестиции, удерживаемые до погашения, на более чем незначительную сумму (более чем незначительную по сравнению с общей суммой инвестиций, удерживаемых до погашения), за исключением продажи или реклассификации, которые:</w:t>
            </w:r>
          </w:p>
          <w:p w:rsidR="00BB1376" w:rsidRDefault="00BB1376" w:rsidP="00BB1376">
            <w:pPr>
              <w:pStyle w:val="a3"/>
              <w:jc w:val="both"/>
              <w:rPr>
                <w:color w:val="626262"/>
                <w:sz w:val="20"/>
                <w:szCs w:val="20"/>
              </w:rPr>
            </w:pPr>
            <w:r>
              <w:rPr>
                <w:color w:val="626262"/>
                <w:sz w:val="20"/>
                <w:szCs w:val="20"/>
              </w:rPr>
              <w:t>(i)            имеют место незадолго до даты погашения финансового актива (например, менее чем за три месяца до наступления срока погашения), и поэтому возможное изменение рыночной процентной ставки не оказало бы существенного влияния на справедливую стоимость финансового актива;</w:t>
            </w:r>
          </w:p>
          <w:p w:rsidR="00BB1376" w:rsidRDefault="00BB1376" w:rsidP="00BB1376">
            <w:pPr>
              <w:pStyle w:val="a3"/>
              <w:jc w:val="both"/>
              <w:rPr>
                <w:color w:val="626262"/>
                <w:sz w:val="20"/>
                <w:szCs w:val="20"/>
              </w:rPr>
            </w:pPr>
            <w:r>
              <w:rPr>
                <w:color w:val="626262"/>
                <w:sz w:val="20"/>
                <w:szCs w:val="20"/>
              </w:rPr>
              <w:t>(ii)           имеют место после получения предприятием первоначальной основной суммы финансового актива практически в полном объеме благодаря регулярным или авансовым платежам; или</w:t>
            </w:r>
          </w:p>
          <w:p w:rsidR="00BB1376" w:rsidRDefault="00BB1376" w:rsidP="00BB1376">
            <w:pPr>
              <w:pStyle w:val="a3"/>
              <w:jc w:val="both"/>
              <w:rPr>
                <w:color w:val="626262"/>
                <w:sz w:val="20"/>
                <w:szCs w:val="20"/>
              </w:rPr>
            </w:pPr>
            <w:r>
              <w:rPr>
                <w:color w:val="626262"/>
                <w:sz w:val="20"/>
                <w:szCs w:val="20"/>
              </w:rPr>
              <w:t>(iii)         связаны с отдельным событием, которое находится вне контроля организации, не является повторяющимся, и предприятие не имеет разумных оснований, чтобы предвидеть наступление такого события.</w:t>
            </w:r>
          </w:p>
          <w:p w:rsidR="00BB1376" w:rsidRDefault="00BB1376" w:rsidP="00BB1376">
            <w:pPr>
              <w:pStyle w:val="a3"/>
              <w:jc w:val="both"/>
              <w:rPr>
                <w:color w:val="626262"/>
                <w:sz w:val="20"/>
                <w:szCs w:val="20"/>
              </w:rPr>
            </w:pPr>
            <w:r>
              <w:rPr>
                <w:rStyle w:val="a5"/>
                <w:color w:val="626262"/>
                <w:sz w:val="20"/>
                <w:szCs w:val="20"/>
              </w:rPr>
              <w:t>Займы и дебиторская задолженность</w:t>
            </w:r>
            <w:r>
              <w:rPr>
                <w:rStyle w:val="apple-converted-space"/>
                <w:color w:val="626262"/>
                <w:sz w:val="20"/>
                <w:szCs w:val="20"/>
              </w:rPr>
              <w:t> </w:t>
            </w:r>
            <w:r>
              <w:rPr>
                <w:color w:val="626262"/>
                <w:sz w:val="20"/>
                <w:szCs w:val="20"/>
              </w:rPr>
              <w:t>- непроизводные финансовые активы с фиксированными или определимыми платежами, не котируемые на активном рынке, за исключением:</w:t>
            </w:r>
          </w:p>
          <w:p w:rsidR="00BB1376" w:rsidRDefault="00BB1376" w:rsidP="00BB1376">
            <w:pPr>
              <w:pStyle w:val="a3"/>
              <w:jc w:val="both"/>
              <w:rPr>
                <w:color w:val="626262"/>
                <w:sz w:val="20"/>
                <w:szCs w:val="20"/>
              </w:rPr>
            </w:pPr>
            <w:r>
              <w:rPr>
                <w:color w:val="626262"/>
                <w:sz w:val="20"/>
                <w:szCs w:val="20"/>
              </w:rPr>
              <w:t>(а)           активов, которые предприятие намеревается продать немедленно или в ближайшем будущем, которые должны быть классифицированы как предназначенные для торговли, а также активы, которые предприятие при первоначальном признании классифицирует как «учтенные по справедливой стоимости через прибыль и убыток»;</w:t>
            </w:r>
          </w:p>
          <w:p w:rsidR="00BB1376" w:rsidRDefault="00BB1376" w:rsidP="00BB1376">
            <w:pPr>
              <w:pStyle w:val="a3"/>
              <w:jc w:val="both"/>
              <w:rPr>
                <w:color w:val="626262"/>
                <w:sz w:val="20"/>
                <w:szCs w:val="20"/>
              </w:rPr>
            </w:pPr>
            <w:r>
              <w:rPr>
                <w:color w:val="626262"/>
                <w:sz w:val="20"/>
                <w:szCs w:val="20"/>
              </w:rPr>
              <w:t>(b)           активов, классифицированных предприятием при первоначальном признании как «имеющиеся в наличии для продажи»; и</w:t>
            </w:r>
          </w:p>
          <w:p w:rsidR="00BB1376" w:rsidRDefault="00BB1376" w:rsidP="00BB1376">
            <w:pPr>
              <w:pStyle w:val="a3"/>
              <w:jc w:val="both"/>
              <w:rPr>
                <w:color w:val="626262"/>
                <w:sz w:val="20"/>
                <w:szCs w:val="20"/>
              </w:rPr>
            </w:pPr>
            <w:r>
              <w:rPr>
                <w:color w:val="626262"/>
                <w:sz w:val="20"/>
                <w:szCs w:val="20"/>
              </w:rPr>
              <w:t>(c)           активов, по которым владелец может не возместить значительную часть своих первоначальных инвестиций, за исключением случаев, когда это происходит из-за ухудшения кредитоспособности.</w:t>
            </w:r>
          </w:p>
          <w:p w:rsidR="00BB1376" w:rsidRDefault="00BB1376" w:rsidP="00BB1376">
            <w:pPr>
              <w:pStyle w:val="a3"/>
              <w:jc w:val="both"/>
              <w:rPr>
                <w:color w:val="626262"/>
                <w:sz w:val="20"/>
                <w:szCs w:val="20"/>
              </w:rPr>
            </w:pPr>
            <w:r>
              <w:rPr>
                <w:color w:val="626262"/>
                <w:sz w:val="20"/>
                <w:szCs w:val="20"/>
              </w:rPr>
              <w:t>Доля, приобретенная в группе активов, которые не являются займами или дебиторской задолженностью (например, доля активов взаимного или аналогичного фонда) не является займом или дебиторской задолженностью.</w:t>
            </w:r>
          </w:p>
          <w:p w:rsidR="00BB1376" w:rsidRDefault="00BB1376" w:rsidP="00BB1376">
            <w:pPr>
              <w:pStyle w:val="a3"/>
              <w:jc w:val="both"/>
              <w:rPr>
                <w:color w:val="626262"/>
                <w:sz w:val="20"/>
                <w:szCs w:val="20"/>
              </w:rPr>
            </w:pPr>
            <w:r>
              <w:rPr>
                <w:rStyle w:val="a5"/>
                <w:color w:val="626262"/>
                <w:sz w:val="20"/>
                <w:szCs w:val="20"/>
              </w:rPr>
              <w:t>Финансовые активы, имеющиеся в наличии для продажи</w:t>
            </w:r>
            <w:r>
              <w:rPr>
                <w:color w:val="626262"/>
                <w:sz w:val="20"/>
                <w:szCs w:val="20"/>
              </w:rPr>
              <w:t xml:space="preserve">, - непроизводные финансовые активы, которые классифицируются, как имеющиеся в наличии для продажи, и не классифицируются как (a) займы и </w:t>
            </w:r>
            <w:r>
              <w:rPr>
                <w:color w:val="626262"/>
                <w:sz w:val="20"/>
                <w:szCs w:val="20"/>
              </w:rPr>
              <w:lastRenderedPageBreak/>
              <w:t>дебиторская задолженность, (b) инвестиции, удерживаемые до погашения, или (с) финансовые активы, учитываемые по справедливой стоимости через прибыль или убыток.</w:t>
            </w:r>
          </w:p>
          <w:tbl>
            <w:tblPr>
              <w:tblW w:w="0" w:type="auto"/>
              <w:tblCellSpacing w:w="0" w:type="dxa"/>
              <w:tblCellMar>
                <w:left w:w="0" w:type="dxa"/>
                <w:right w:w="0" w:type="dxa"/>
              </w:tblCellMar>
              <w:tblLook w:val="04A0"/>
            </w:tblPr>
            <w:tblGrid>
              <w:gridCol w:w="8640"/>
              <w:gridCol w:w="6"/>
            </w:tblGrid>
            <w:tr w:rsidR="00BB1376" w:rsidTr="00BB1376">
              <w:trPr>
                <w:trHeight w:val="345"/>
                <w:tblCellSpacing w:w="0" w:type="dxa"/>
              </w:trPr>
              <w:tc>
                <w:tcPr>
                  <w:tcW w:w="8640" w:type="dxa"/>
                  <w:hideMark/>
                </w:tcPr>
                <w:p w:rsidR="00BB1376" w:rsidRDefault="00BB1376">
                  <w:pPr>
                    <w:pStyle w:val="a3"/>
                    <w:rPr>
                      <w:color w:val="626262"/>
                      <w:sz w:val="20"/>
                      <w:szCs w:val="20"/>
                    </w:rPr>
                  </w:pPr>
                  <w:r>
                    <w:rPr>
                      <w:rStyle w:val="a4"/>
                      <w:color w:val="626262"/>
                      <w:sz w:val="20"/>
                      <w:szCs w:val="20"/>
                    </w:rPr>
                    <w:t>Определение договора финансовой гарантии</w:t>
                  </w:r>
                </w:p>
              </w:tc>
              <w:tc>
                <w:tcPr>
                  <w:tcW w:w="6" w:type="dxa"/>
                  <w:vAlign w:val="center"/>
                  <w:hideMark/>
                </w:tcPr>
                <w:p w:rsidR="00BB1376" w:rsidRDefault="00BB1376">
                  <w:pPr>
                    <w:jc w:val="both"/>
                    <w:rPr>
                      <w:color w:val="626262"/>
                      <w:sz w:val="20"/>
                      <w:szCs w:val="20"/>
                    </w:rPr>
                  </w:pPr>
                </w:p>
              </w:tc>
            </w:tr>
          </w:tbl>
          <w:p w:rsidR="00BB1376" w:rsidRDefault="00BB1376" w:rsidP="00BB1376">
            <w:pPr>
              <w:pStyle w:val="a3"/>
              <w:jc w:val="both"/>
              <w:rPr>
                <w:color w:val="626262"/>
                <w:sz w:val="20"/>
                <w:szCs w:val="20"/>
              </w:rPr>
            </w:pPr>
            <w:r>
              <w:rPr>
                <w:rStyle w:val="a5"/>
                <w:color w:val="626262"/>
                <w:sz w:val="20"/>
                <w:szCs w:val="20"/>
              </w:rPr>
              <w:t>Договор финансовой гарантии</w:t>
            </w:r>
            <w:r>
              <w:rPr>
                <w:rStyle w:val="apple-converted-space"/>
                <w:color w:val="626262"/>
                <w:sz w:val="20"/>
                <w:szCs w:val="20"/>
              </w:rPr>
              <w:t> </w:t>
            </w:r>
            <w:r>
              <w:rPr>
                <w:color w:val="626262"/>
                <w:sz w:val="20"/>
                <w:szCs w:val="20"/>
              </w:rPr>
              <w:t>представляет собой договор, согласно которому эмитент обязан произвести определенные выплаты с целью возмещения держателю инструмента убытка, понесенного им в связи с тем, что определенный должник не в состоянии совершить платеж в установленный срок в соответствии с первоначальными или пересмотренными условиями долгового инструмента.</w:t>
            </w:r>
          </w:p>
          <w:tbl>
            <w:tblPr>
              <w:tblW w:w="0" w:type="auto"/>
              <w:tblCellSpacing w:w="0" w:type="dxa"/>
              <w:tblCellMar>
                <w:left w:w="0" w:type="dxa"/>
                <w:right w:w="0" w:type="dxa"/>
              </w:tblCellMar>
              <w:tblLook w:val="04A0"/>
            </w:tblPr>
            <w:tblGrid>
              <w:gridCol w:w="8640"/>
              <w:gridCol w:w="6"/>
            </w:tblGrid>
            <w:tr w:rsidR="00BB1376" w:rsidTr="00BB1376">
              <w:trPr>
                <w:trHeight w:val="345"/>
                <w:tblCellSpacing w:w="0" w:type="dxa"/>
              </w:trPr>
              <w:tc>
                <w:tcPr>
                  <w:tcW w:w="8640" w:type="dxa"/>
                  <w:hideMark/>
                </w:tcPr>
                <w:p w:rsidR="00BB1376" w:rsidRDefault="00BB1376">
                  <w:pPr>
                    <w:pStyle w:val="a3"/>
                    <w:rPr>
                      <w:color w:val="626262"/>
                      <w:sz w:val="20"/>
                      <w:szCs w:val="20"/>
                    </w:rPr>
                  </w:pPr>
                  <w:r>
                    <w:rPr>
                      <w:rStyle w:val="a4"/>
                      <w:color w:val="626262"/>
                      <w:sz w:val="20"/>
                      <w:szCs w:val="20"/>
                    </w:rPr>
                    <w:t>Определения, связанные с признанием и измерением</w:t>
                  </w:r>
                </w:p>
              </w:tc>
              <w:tc>
                <w:tcPr>
                  <w:tcW w:w="6" w:type="dxa"/>
                  <w:vAlign w:val="center"/>
                  <w:hideMark/>
                </w:tcPr>
                <w:p w:rsidR="00BB1376" w:rsidRDefault="00BB1376">
                  <w:pPr>
                    <w:jc w:val="both"/>
                    <w:rPr>
                      <w:color w:val="626262"/>
                      <w:sz w:val="20"/>
                      <w:szCs w:val="20"/>
                    </w:rPr>
                  </w:pPr>
                </w:p>
              </w:tc>
            </w:tr>
          </w:tbl>
          <w:p w:rsidR="00BB1376" w:rsidRDefault="00BB1376" w:rsidP="00BB1376">
            <w:pPr>
              <w:pStyle w:val="a3"/>
              <w:jc w:val="both"/>
              <w:rPr>
                <w:color w:val="626262"/>
                <w:sz w:val="20"/>
                <w:szCs w:val="20"/>
              </w:rPr>
            </w:pPr>
            <w:r>
              <w:rPr>
                <w:rStyle w:val="a5"/>
                <w:color w:val="626262"/>
                <w:sz w:val="20"/>
                <w:szCs w:val="20"/>
              </w:rPr>
              <w:t>Амортизированная стоимость финансового актива или финансового обязательства</w:t>
            </w:r>
            <w:r>
              <w:rPr>
                <w:rStyle w:val="apple-converted-space"/>
                <w:color w:val="626262"/>
                <w:sz w:val="20"/>
                <w:szCs w:val="20"/>
              </w:rPr>
              <w:t> </w:t>
            </w:r>
            <w:r>
              <w:rPr>
                <w:color w:val="626262"/>
                <w:sz w:val="20"/>
                <w:szCs w:val="20"/>
              </w:rPr>
              <w:t>- величина, в которой финансовые активы или обязательства измерены при первоначальном признании, за вычетом выплат в погашение основной суммы долга, уменьшенная или увеличенная на сумму накопленной с использованием метода эффективной ставки процента амортизации разницы между первоначальной стоимостью и суммой погашения, а также за вычетом суммы уменьшения (прямого или путем использования счета оценочного резерва) на обесценение или безнадежную задолженность.</w:t>
            </w:r>
          </w:p>
          <w:p w:rsidR="00BB1376" w:rsidRDefault="00BB1376" w:rsidP="00BB1376">
            <w:pPr>
              <w:pStyle w:val="a3"/>
              <w:jc w:val="both"/>
              <w:rPr>
                <w:color w:val="626262"/>
                <w:sz w:val="20"/>
                <w:szCs w:val="20"/>
              </w:rPr>
            </w:pPr>
            <w:r>
              <w:rPr>
                <w:rStyle w:val="a5"/>
                <w:color w:val="626262"/>
                <w:sz w:val="20"/>
                <w:szCs w:val="20"/>
              </w:rPr>
              <w:t>Метод эффективной ставки процента</w:t>
            </w:r>
            <w:r>
              <w:rPr>
                <w:rStyle w:val="apple-converted-space"/>
                <w:color w:val="626262"/>
                <w:sz w:val="20"/>
                <w:szCs w:val="20"/>
              </w:rPr>
              <w:t> </w:t>
            </w:r>
            <w:r>
              <w:rPr>
                <w:color w:val="626262"/>
                <w:sz w:val="20"/>
                <w:szCs w:val="20"/>
              </w:rPr>
              <w:t>- метод расчета амортизированной стоимости финансового актива или финансового обязательства (или группы финансовых активов или финансовых обязательств) и распределения процентного дохода или процентного расхода на соответствующий период.</w:t>
            </w:r>
            <w:r>
              <w:rPr>
                <w:rStyle w:val="apple-converted-space"/>
                <w:color w:val="626262"/>
                <w:sz w:val="20"/>
                <w:szCs w:val="20"/>
              </w:rPr>
              <w:t> </w:t>
            </w:r>
            <w:r>
              <w:rPr>
                <w:rStyle w:val="a5"/>
                <w:color w:val="626262"/>
                <w:sz w:val="20"/>
                <w:szCs w:val="20"/>
              </w:rPr>
              <w:t>Эффективная процентная ставка</w:t>
            </w:r>
            <w:r>
              <w:rPr>
                <w:rStyle w:val="apple-converted-space"/>
                <w:color w:val="626262"/>
                <w:sz w:val="20"/>
                <w:szCs w:val="20"/>
              </w:rPr>
              <w:t> </w:t>
            </w:r>
            <w:r>
              <w:rPr>
                <w:color w:val="626262"/>
                <w:sz w:val="20"/>
                <w:szCs w:val="20"/>
              </w:rPr>
              <w:t>- ставка, применяемая при точном дисконтировании расчетных будущих денежных платежей или поступлений на протяжении ожидаемого времени существования финансового инструмента или, где это уместно, более короткого периода, до чистой балансовой стоимости финансового актива или финансового обязательства. При расчете эффективной ставки процента предприятие должно рассчитать потоки денежных средств с учетом всех договорных условий финансового инструмента (например, права на досрочное погашение, опциона на покупку и аналогичных опционов), но не должно принимать во внимание будущие кредитные потери. Расчет включает все вознаграждения и суммы, выплаченные или полученные сторонами по договору, которые являются неотъемлемой частью эффективной ставки процента (см. МСФО (IAS) 18), затрат по сделке и всех прочих премий или скидок. Существует предположение, что потоки денежных средств и ожидаемый срок существования группы аналогичных финансовых инструментов могут быть достоверно рассчитаны. Однако в тех редких случаях, когда невозможно достоверно рассчитать потоки денежных средств или ожидаемый срок существования финансового инструмента (или группы финансовых инструментов), предприятие должно использовать данные по движению денежных средств, предусмотренные договором, на протяжении всего договорного срока финансового инструмента (или группы финансовых инструментов).</w:t>
            </w:r>
          </w:p>
          <w:p w:rsidR="00BB1376" w:rsidRDefault="00BB1376" w:rsidP="00BB1376">
            <w:pPr>
              <w:pStyle w:val="a3"/>
              <w:jc w:val="both"/>
              <w:rPr>
                <w:color w:val="626262"/>
                <w:sz w:val="20"/>
                <w:szCs w:val="20"/>
              </w:rPr>
            </w:pPr>
            <w:r>
              <w:rPr>
                <w:rStyle w:val="a5"/>
                <w:color w:val="626262"/>
                <w:sz w:val="20"/>
                <w:szCs w:val="20"/>
              </w:rPr>
              <w:t>Прекращение признания</w:t>
            </w:r>
            <w:r>
              <w:rPr>
                <w:rStyle w:val="apple-converted-space"/>
                <w:color w:val="626262"/>
                <w:sz w:val="20"/>
                <w:szCs w:val="20"/>
              </w:rPr>
              <w:t> </w:t>
            </w:r>
            <w:r>
              <w:rPr>
                <w:color w:val="626262"/>
                <w:sz w:val="20"/>
                <w:szCs w:val="20"/>
              </w:rPr>
              <w:t>- исключение ранее признанного финансового актива или финансового обязательства из баланса предприятия.</w:t>
            </w:r>
          </w:p>
          <w:p w:rsidR="00BB1376" w:rsidRDefault="00BB1376" w:rsidP="00BB1376">
            <w:pPr>
              <w:pStyle w:val="a3"/>
              <w:jc w:val="both"/>
              <w:rPr>
                <w:color w:val="626262"/>
                <w:sz w:val="20"/>
                <w:szCs w:val="20"/>
              </w:rPr>
            </w:pPr>
            <w:r>
              <w:rPr>
                <w:rStyle w:val="a5"/>
                <w:color w:val="626262"/>
                <w:sz w:val="20"/>
                <w:szCs w:val="20"/>
              </w:rPr>
              <w:t>Справедливая стоимость</w:t>
            </w:r>
            <w:r>
              <w:rPr>
                <w:rStyle w:val="apple-converted-space"/>
                <w:color w:val="626262"/>
                <w:sz w:val="20"/>
                <w:szCs w:val="20"/>
              </w:rPr>
              <w:t> </w:t>
            </w:r>
            <w:r>
              <w:rPr>
                <w:color w:val="626262"/>
                <w:sz w:val="20"/>
                <w:szCs w:val="20"/>
              </w:rPr>
              <w:t>- сумма, на которую может быть обменен актив или исполнено обязательство при совершении операции между хорошо осведомленными, желающими совершить такую операцию независимыми сторонами.</w:t>
            </w:r>
            <w:bookmarkStart w:id="0" w:name="_ftnref1"/>
            <w:r>
              <w:rPr>
                <w:color w:val="626262"/>
                <w:sz w:val="20"/>
                <w:szCs w:val="20"/>
              </w:rPr>
              <w:fldChar w:fldCharType="begin"/>
            </w:r>
            <w:r>
              <w:rPr>
                <w:color w:val="626262"/>
                <w:sz w:val="20"/>
                <w:szCs w:val="20"/>
              </w:rPr>
              <w:instrText xml:space="preserve"> HYPERLINK "http://www.kz-adviser.kz/official/32-ifrs/207-ias39" \l "_ftn1" </w:instrText>
            </w:r>
            <w:r>
              <w:rPr>
                <w:color w:val="626262"/>
                <w:sz w:val="20"/>
                <w:szCs w:val="20"/>
              </w:rPr>
              <w:fldChar w:fldCharType="separate"/>
            </w:r>
            <w:r>
              <w:rPr>
                <w:rStyle w:val="a4"/>
                <w:color w:val="0000FF"/>
                <w:sz w:val="20"/>
                <w:szCs w:val="20"/>
                <w:u w:val="single"/>
              </w:rPr>
              <w:t>[*]</w:t>
            </w:r>
            <w:r>
              <w:rPr>
                <w:color w:val="626262"/>
                <w:sz w:val="20"/>
                <w:szCs w:val="20"/>
              </w:rPr>
              <w:fldChar w:fldCharType="end"/>
            </w:r>
            <w:bookmarkEnd w:id="0"/>
          </w:p>
          <w:p w:rsidR="00BB1376" w:rsidRDefault="00BB1376" w:rsidP="00BB1376">
            <w:pPr>
              <w:pStyle w:val="a3"/>
              <w:jc w:val="both"/>
              <w:rPr>
                <w:color w:val="626262"/>
                <w:sz w:val="20"/>
                <w:szCs w:val="20"/>
              </w:rPr>
            </w:pPr>
            <w:r>
              <w:rPr>
                <w:rStyle w:val="a5"/>
                <w:color w:val="626262"/>
                <w:sz w:val="20"/>
                <w:szCs w:val="20"/>
              </w:rPr>
              <w:t>Стандартная процедура покупки или продажи</w:t>
            </w:r>
            <w:r>
              <w:rPr>
                <w:rStyle w:val="apple-converted-space"/>
                <w:color w:val="626262"/>
                <w:sz w:val="20"/>
                <w:szCs w:val="20"/>
              </w:rPr>
              <w:t> </w:t>
            </w:r>
            <w:r>
              <w:rPr>
                <w:color w:val="626262"/>
                <w:sz w:val="20"/>
                <w:szCs w:val="20"/>
              </w:rPr>
              <w:t>- покупка или продажа финансового актива согласно договору, условия которого требуют поставки актива в течение периода времени, установленного правилами или соглашениями, принятыми на соответствующем рынке.</w:t>
            </w:r>
          </w:p>
          <w:p w:rsidR="00BB1376" w:rsidRDefault="00BB1376" w:rsidP="00BB1376">
            <w:pPr>
              <w:pStyle w:val="a3"/>
              <w:jc w:val="both"/>
              <w:rPr>
                <w:color w:val="626262"/>
                <w:sz w:val="20"/>
                <w:szCs w:val="20"/>
              </w:rPr>
            </w:pPr>
            <w:r>
              <w:rPr>
                <w:rStyle w:val="a5"/>
                <w:color w:val="626262"/>
                <w:sz w:val="20"/>
                <w:szCs w:val="20"/>
              </w:rPr>
              <w:t>Затраты по сделке</w:t>
            </w:r>
            <w:r>
              <w:rPr>
                <w:rStyle w:val="apple-converted-space"/>
                <w:color w:val="626262"/>
                <w:sz w:val="20"/>
                <w:szCs w:val="20"/>
              </w:rPr>
              <w:t> </w:t>
            </w:r>
            <w:r>
              <w:rPr>
                <w:color w:val="626262"/>
                <w:sz w:val="20"/>
                <w:szCs w:val="20"/>
              </w:rPr>
              <w:t>- дополнительные затраты, непосредственно связанные с приобретением, выпуском или выбытием финансового актива или финансового обязательства (см. параграф AG13 приложения А). Дополнительные затраты - затраты, которые бы не возникли, если бы предприятие не приобрело, не выпустило или не продало финансовый инструмент.</w:t>
            </w:r>
          </w:p>
          <w:tbl>
            <w:tblPr>
              <w:tblW w:w="0" w:type="auto"/>
              <w:tblCellSpacing w:w="0" w:type="dxa"/>
              <w:tblCellMar>
                <w:left w:w="0" w:type="dxa"/>
                <w:right w:w="0" w:type="dxa"/>
              </w:tblCellMar>
              <w:tblLook w:val="04A0"/>
            </w:tblPr>
            <w:tblGrid>
              <w:gridCol w:w="8640"/>
              <w:gridCol w:w="6"/>
            </w:tblGrid>
            <w:tr w:rsidR="00BB1376" w:rsidTr="00BB1376">
              <w:trPr>
                <w:trHeight w:val="345"/>
                <w:tblCellSpacing w:w="0" w:type="dxa"/>
              </w:trPr>
              <w:tc>
                <w:tcPr>
                  <w:tcW w:w="8640" w:type="dxa"/>
                  <w:hideMark/>
                </w:tcPr>
                <w:p w:rsidR="00BB1376" w:rsidRDefault="00BB1376">
                  <w:pPr>
                    <w:pStyle w:val="a3"/>
                  </w:pPr>
                  <w:r>
                    <w:rPr>
                      <w:rStyle w:val="a4"/>
                    </w:rPr>
                    <w:t>Определения, связанные с учетом хеджирования</w:t>
                  </w:r>
                </w:p>
              </w:tc>
              <w:tc>
                <w:tcPr>
                  <w:tcW w:w="6" w:type="dxa"/>
                  <w:vAlign w:val="center"/>
                  <w:hideMark/>
                </w:tcPr>
                <w:p w:rsidR="00BB1376" w:rsidRDefault="00BB1376">
                  <w:pPr>
                    <w:rPr>
                      <w:sz w:val="24"/>
                      <w:szCs w:val="24"/>
                    </w:rPr>
                  </w:pPr>
                </w:p>
              </w:tc>
            </w:tr>
          </w:tbl>
          <w:p w:rsidR="00BB1376" w:rsidRDefault="00BB1376" w:rsidP="00BB1376">
            <w:pPr>
              <w:pStyle w:val="a3"/>
              <w:jc w:val="both"/>
              <w:rPr>
                <w:color w:val="626262"/>
                <w:sz w:val="20"/>
                <w:szCs w:val="20"/>
              </w:rPr>
            </w:pPr>
            <w:r>
              <w:rPr>
                <w:rStyle w:val="a5"/>
                <w:color w:val="626262"/>
                <w:sz w:val="20"/>
                <w:szCs w:val="20"/>
              </w:rPr>
              <w:t>Твердое соглашение</w:t>
            </w:r>
            <w:r>
              <w:rPr>
                <w:rStyle w:val="apple-converted-space"/>
                <w:color w:val="626262"/>
                <w:sz w:val="20"/>
                <w:szCs w:val="20"/>
              </w:rPr>
              <w:t> </w:t>
            </w:r>
            <w:r>
              <w:rPr>
                <w:color w:val="626262"/>
                <w:sz w:val="20"/>
                <w:szCs w:val="20"/>
              </w:rPr>
              <w:t>- соглашение, имеющее обязательную силу, об обмене оговоренного количества ресурсов по оговоренной цене в оговоренную будущую дату или даты.</w:t>
            </w:r>
          </w:p>
          <w:p w:rsidR="00BB1376" w:rsidRDefault="00BB1376" w:rsidP="00BB1376">
            <w:pPr>
              <w:pStyle w:val="a3"/>
              <w:jc w:val="both"/>
              <w:rPr>
                <w:color w:val="626262"/>
                <w:sz w:val="20"/>
                <w:szCs w:val="20"/>
              </w:rPr>
            </w:pPr>
            <w:r>
              <w:rPr>
                <w:rStyle w:val="a5"/>
                <w:color w:val="626262"/>
                <w:sz w:val="20"/>
                <w:szCs w:val="20"/>
              </w:rPr>
              <w:lastRenderedPageBreak/>
              <w:t>Прогнозируемая операция</w:t>
            </w:r>
            <w:r>
              <w:rPr>
                <w:rStyle w:val="apple-converted-space"/>
                <w:color w:val="626262"/>
                <w:sz w:val="20"/>
                <w:szCs w:val="20"/>
              </w:rPr>
              <w:t> </w:t>
            </w:r>
            <w:r>
              <w:rPr>
                <w:color w:val="626262"/>
                <w:sz w:val="20"/>
                <w:szCs w:val="20"/>
              </w:rPr>
              <w:t>- необязательная, но ожидаемая будущая операция.</w:t>
            </w:r>
          </w:p>
          <w:p w:rsidR="00BB1376" w:rsidRDefault="00BB1376" w:rsidP="00BB1376">
            <w:pPr>
              <w:pStyle w:val="a3"/>
              <w:jc w:val="both"/>
              <w:rPr>
                <w:color w:val="626262"/>
                <w:sz w:val="20"/>
                <w:szCs w:val="20"/>
              </w:rPr>
            </w:pPr>
            <w:r>
              <w:rPr>
                <w:rStyle w:val="a5"/>
                <w:color w:val="626262"/>
                <w:sz w:val="20"/>
                <w:szCs w:val="20"/>
              </w:rPr>
              <w:t>Инструмент хеджирования</w:t>
            </w:r>
            <w:r>
              <w:rPr>
                <w:rStyle w:val="apple-converted-space"/>
                <w:color w:val="626262"/>
                <w:sz w:val="20"/>
                <w:szCs w:val="20"/>
              </w:rPr>
              <w:t> </w:t>
            </w:r>
            <w:r>
              <w:rPr>
                <w:color w:val="626262"/>
                <w:sz w:val="20"/>
                <w:szCs w:val="20"/>
              </w:rPr>
              <w:t>- определенный производный инструмент или (только для хеджирования изменений курсов обмена валют) определенный непроизводный финансовый актив или непроизводное финансовое обязательство, справедливая стоимость и движение денежных средств которых должны компенсировать изменения справедливой стоимости назначенной хеджируемой статьи (более подробное определение инструмента хеджирования рассматривается в параграфах 72-77 и параграфах AG94-AG97 приложения А).</w:t>
            </w:r>
          </w:p>
          <w:p w:rsidR="00BB1376" w:rsidRDefault="00BB1376" w:rsidP="00BB1376">
            <w:pPr>
              <w:pStyle w:val="a3"/>
              <w:jc w:val="both"/>
              <w:rPr>
                <w:color w:val="626262"/>
                <w:sz w:val="20"/>
                <w:szCs w:val="20"/>
              </w:rPr>
            </w:pPr>
            <w:r>
              <w:rPr>
                <w:rStyle w:val="a5"/>
                <w:color w:val="626262"/>
                <w:sz w:val="20"/>
                <w:szCs w:val="20"/>
              </w:rPr>
              <w:t>Хеджируемая статья</w:t>
            </w:r>
            <w:r>
              <w:rPr>
                <w:rStyle w:val="apple-converted-space"/>
                <w:color w:val="626262"/>
                <w:sz w:val="20"/>
                <w:szCs w:val="20"/>
              </w:rPr>
              <w:t> </w:t>
            </w:r>
            <w:r>
              <w:rPr>
                <w:color w:val="626262"/>
                <w:sz w:val="20"/>
                <w:szCs w:val="20"/>
              </w:rPr>
              <w:t>- актив, обязательство, твердое соглашение, весьма вероятная прогнозируемая операция или чистые инвестиции в зарубежную деятельность, которые (a) подвергают предприятие риску изменений справедливой стоимости или будущего движения денежных средств и (b) определяются как хеджируемые (более подробное определение хеджируемых статей рассматривается в параграфах 78-84 и параграфах AG98-AG101 приложения А).</w:t>
            </w:r>
          </w:p>
          <w:p w:rsidR="00BB1376" w:rsidRDefault="00BB1376" w:rsidP="00BB1376">
            <w:pPr>
              <w:pStyle w:val="a3"/>
              <w:jc w:val="both"/>
              <w:rPr>
                <w:color w:val="626262"/>
                <w:sz w:val="20"/>
                <w:szCs w:val="20"/>
              </w:rPr>
            </w:pPr>
            <w:r>
              <w:rPr>
                <w:rStyle w:val="a5"/>
                <w:color w:val="626262"/>
                <w:sz w:val="20"/>
                <w:szCs w:val="20"/>
              </w:rPr>
              <w:t>Эффективность хеджирования</w:t>
            </w:r>
            <w:r>
              <w:rPr>
                <w:rStyle w:val="apple-converted-space"/>
                <w:color w:val="626262"/>
                <w:sz w:val="20"/>
                <w:szCs w:val="20"/>
              </w:rPr>
              <w:t> </w:t>
            </w:r>
            <w:r>
              <w:rPr>
                <w:color w:val="626262"/>
                <w:sz w:val="20"/>
                <w:szCs w:val="20"/>
              </w:rPr>
              <w:t>- степень, в которой изменения справедливой стоимости или движения денежных средств хеджируемой статьи, относящиеся к хеджируемому риску, компенсируются изменениями справедливой стоимости или движения денежных средств инструмента хеджирования (см. параграфы AG105-AG113 приложения А).</w:t>
            </w:r>
          </w:p>
          <w:p w:rsidR="00BB1376" w:rsidRDefault="00BB1376" w:rsidP="00BB1376">
            <w:pPr>
              <w:pStyle w:val="a3"/>
              <w:jc w:val="both"/>
              <w:rPr>
                <w:color w:val="626262"/>
                <w:sz w:val="20"/>
                <w:szCs w:val="20"/>
              </w:rPr>
            </w:pPr>
            <w:r>
              <w:rPr>
                <w:color w:val="626262"/>
                <w:sz w:val="20"/>
                <w:szCs w:val="20"/>
              </w:rPr>
              <w:t>Встроенные производные инструменты</w:t>
            </w:r>
          </w:p>
          <w:p w:rsidR="00BB1376" w:rsidRDefault="00BB1376" w:rsidP="00BB1376">
            <w:pPr>
              <w:pStyle w:val="a3"/>
              <w:jc w:val="both"/>
              <w:rPr>
                <w:color w:val="626262"/>
                <w:sz w:val="20"/>
                <w:szCs w:val="20"/>
              </w:rPr>
            </w:pPr>
            <w:r>
              <w:rPr>
                <w:color w:val="626262"/>
                <w:sz w:val="20"/>
                <w:szCs w:val="20"/>
              </w:rPr>
              <w:t>10           Встроенный производный инструмент - часть гибридного (комбинированного) инструмента, который также включает непроизводный основной договор, и при этом движение некоторых денежных средств меняется аналогично движению денежных средств самостоятельного производного инструмента. Встроенный производный инструмент определяет изменение движения некоторых или всех денежных потоков, которые в противном случае определялись бы договором, согласно оговоренной ставке процента, цене финансового инструмента, цене товара, курсу обмена валют, индексу цен или ставок, кредитному рейтингу или кредитному индексу или другой переменной, при условии, что в случае с нефинансовой переменной она не является специальной для стороны договора. Производный инструмент, который привязан к финансовому инструменту, однако по договору может быть передан независимо от такого инструмента, или предусматривает контрагента, отличного от контрагента финансового инструмента, является не встроенным производным инструментом, а независимым финансовым инструментом.</w:t>
            </w:r>
          </w:p>
          <w:p w:rsidR="00BB1376" w:rsidRDefault="00BB1376" w:rsidP="00BB1376">
            <w:pPr>
              <w:pStyle w:val="a3"/>
              <w:jc w:val="both"/>
              <w:rPr>
                <w:color w:val="626262"/>
                <w:sz w:val="20"/>
                <w:szCs w:val="20"/>
              </w:rPr>
            </w:pPr>
            <w:r>
              <w:rPr>
                <w:color w:val="626262"/>
                <w:sz w:val="20"/>
                <w:szCs w:val="20"/>
              </w:rPr>
              <w:t>11           Встроенный производный инструмент является независимым от основного договора и учитывается как производный инструмент в соответствии с данным стандартом, если, и только если:</w:t>
            </w:r>
          </w:p>
          <w:p w:rsidR="00BB1376" w:rsidRDefault="00BB1376" w:rsidP="00BB1376">
            <w:pPr>
              <w:pStyle w:val="a3"/>
              <w:jc w:val="both"/>
              <w:rPr>
                <w:color w:val="626262"/>
                <w:sz w:val="20"/>
                <w:szCs w:val="20"/>
              </w:rPr>
            </w:pPr>
            <w:r>
              <w:rPr>
                <w:color w:val="626262"/>
                <w:sz w:val="20"/>
                <w:szCs w:val="20"/>
              </w:rPr>
              <w:t>(а)           экономические характеристики и риски встроенного производного инструмента не связаны тесно с экономическими характеристиками и рисками основного договора (см. параграфы AG30 и AG33 приложения А);</w:t>
            </w:r>
          </w:p>
          <w:p w:rsidR="00BB1376" w:rsidRDefault="00BB1376" w:rsidP="00BB1376">
            <w:pPr>
              <w:pStyle w:val="a3"/>
              <w:jc w:val="both"/>
              <w:rPr>
                <w:color w:val="626262"/>
                <w:sz w:val="20"/>
                <w:szCs w:val="20"/>
              </w:rPr>
            </w:pPr>
            <w:r>
              <w:rPr>
                <w:color w:val="626262"/>
                <w:sz w:val="20"/>
                <w:szCs w:val="20"/>
              </w:rPr>
              <w:t>(b)           независимый инструмент, предусматривающий условия, аналогичные условиям встроенного производного инструмента, подпадает под определение производного инструмента; и</w:t>
            </w:r>
          </w:p>
          <w:p w:rsidR="00BB1376" w:rsidRDefault="00BB1376" w:rsidP="00BB1376">
            <w:pPr>
              <w:pStyle w:val="a3"/>
              <w:jc w:val="both"/>
              <w:rPr>
                <w:color w:val="626262"/>
                <w:sz w:val="20"/>
                <w:szCs w:val="20"/>
              </w:rPr>
            </w:pPr>
            <w:r>
              <w:rPr>
                <w:color w:val="626262"/>
                <w:sz w:val="20"/>
                <w:szCs w:val="20"/>
              </w:rPr>
              <w:t>(c)           гибридный (комбинированный) инструмент не измеряется по справедливой стоимости с отнесением изменений справедливой стоимости на прибыль или убыток (т.е. производный инструмент, встроенный в финансовый актив или финансовое обязательство, учитываемые по справедливой стоимости через прибыль или убыток, не является независимым).</w:t>
            </w:r>
          </w:p>
          <w:p w:rsidR="00BB1376" w:rsidRDefault="00BB1376" w:rsidP="00BB1376">
            <w:pPr>
              <w:pStyle w:val="a3"/>
              <w:jc w:val="both"/>
              <w:rPr>
                <w:color w:val="626262"/>
                <w:sz w:val="20"/>
                <w:szCs w:val="20"/>
              </w:rPr>
            </w:pPr>
            <w:r>
              <w:rPr>
                <w:color w:val="626262"/>
                <w:sz w:val="20"/>
                <w:szCs w:val="20"/>
              </w:rPr>
              <w:t>Если встроенный производный инструмент является независимым, основной договор учитывается в соответствии с настоящим стандартом, если он представляет собой финансовый инструмент, и в соответствии с другим надлежащим стандартом, если он не является финансовым инструментом. Данный стандарт не оговаривает обязательного отражения встроенных финансовых инструментов в финансовой отчетности.</w:t>
            </w:r>
          </w:p>
          <w:p w:rsidR="00BB1376" w:rsidRDefault="00BB1376" w:rsidP="00BB1376">
            <w:pPr>
              <w:pStyle w:val="a3"/>
              <w:jc w:val="both"/>
              <w:rPr>
                <w:color w:val="626262"/>
                <w:sz w:val="20"/>
                <w:szCs w:val="20"/>
              </w:rPr>
            </w:pPr>
            <w:r>
              <w:rPr>
                <w:color w:val="626262"/>
                <w:sz w:val="20"/>
                <w:szCs w:val="20"/>
              </w:rPr>
              <w:t>11A        Несмотря на положения пункта 11, если договор содержит один или более встроенных производных инструментов, предприятие может классифицировать весь гибридный (комбинированный) договор как финансовый актив или финансовое обязательство, учитываемые по справедливой стоимости через прибыль или убыток, за исключением следующих случаев:</w:t>
            </w:r>
          </w:p>
          <w:p w:rsidR="00BB1376" w:rsidRDefault="00BB1376" w:rsidP="00BB1376">
            <w:pPr>
              <w:pStyle w:val="a3"/>
              <w:jc w:val="both"/>
              <w:rPr>
                <w:color w:val="626262"/>
                <w:sz w:val="20"/>
                <w:szCs w:val="20"/>
              </w:rPr>
            </w:pPr>
            <w:r>
              <w:rPr>
                <w:color w:val="626262"/>
                <w:sz w:val="20"/>
                <w:szCs w:val="20"/>
              </w:rPr>
              <w:lastRenderedPageBreak/>
              <w:t>(а)           встроенный производный инструмент (инструменты) не вызывает значительного изменения потоков денежных средств по сравнению с теми, которые в противном случае потребовались бы согласно договору; или</w:t>
            </w:r>
          </w:p>
          <w:p w:rsidR="00BB1376" w:rsidRDefault="00BB1376" w:rsidP="00BB1376">
            <w:pPr>
              <w:pStyle w:val="a3"/>
              <w:jc w:val="both"/>
              <w:rPr>
                <w:color w:val="626262"/>
                <w:sz w:val="20"/>
                <w:szCs w:val="20"/>
              </w:rPr>
            </w:pPr>
            <w:r>
              <w:rPr>
                <w:color w:val="626262"/>
                <w:sz w:val="20"/>
                <w:szCs w:val="20"/>
              </w:rPr>
              <w:t>(b)           даже без проведения глубокого анализа или при полном отказе от анализа в случае первоначального рассмотрения аналогичного гибридного (комбинированного) инструмента очевидно, что нельзя отделять встроенный производный инструмент (инструменты), например, встроенный в заем опцион на досрочное погашение, который позволяет держателю осуществлять досрочный возврат займа приблизительно по его амортизированной стоимости.</w:t>
            </w:r>
          </w:p>
          <w:p w:rsidR="00BB1376" w:rsidRDefault="00BB1376" w:rsidP="00BB1376">
            <w:pPr>
              <w:pStyle w:val="a3"/>
              <w:jc w:val="both"/>
              <w:rPr>
                <w:color w:val="626262"/>
                <w:sz w:val="20"/>
                <w:szCs w:val="20"/>
              </w:rPr>
            </w:pPr>
            <w:r>
              <w:rPr>
                <w:color w:val="626262"/>
                <w:sz w:val="20"/>
                <w:szCs w:val="20"/>
              </w:rPr>
              <w:t>12           Если предприятие должно отделить встроенный производный инструмент от основного договора согласно требованиям настоящего стандарта, однако не в состоянии отдельно измерить встроенный производный инструмент при приобретении или на последующую отчетную дату, оно должно классифицировать весь гибридный (комбинированный) договор как учитываемый по справедливой стоимости через прибыль или убыток.</w:t>
            </w:r>
          </w:p>
          <w:p w:rsidR="00BB1376" w:rsidRDefault="00BB1376" w:rsidP="00BB1376">
            <w:pPr>
              <w:pStyle w:val="a3"/>
              <w:jc w:val="both"/>
              <w:rPr>
                <w:color w:val="626262"/>
                <w:sz w:val="20"/>
                <w:szCs w:val="20"/>
              </w:rPr>
            </w:pPr>
            <w:r>
              <w:rPr>
                <w:color w:val="626262"/>
                <w:sz w:val="20"/>
                <w:szCs w:val="20"/>
              </w:rPr>
              <w:t>13           Если предприятие не может достоверно определить справедливую стоимость встроенного производного инструмента на основе его условий и положений (например, в связи с тем, что встроенный производный инструмент основан на некотируемом долевом инструменте), то справедливая стоимость встроенного производного инструмента - это разница между справедливой стоимостью гибридного инструмента и справедливой стоимостью основного договора, если они могут быть определены согласно настоящему стандарту. Если предприятие не может определить справедливую стоимость встроенного производного инструмента с использованием указанного метода, то применяется пункт 12 и гибридный (комбинированный) инструмент классифицируется как учитываемый по справедливой стоимости через прибыль или убыток.</w:t>
            </w:r>
          </w:p>
          <w:p w:rsidR="00BB1376" w:rsidRDefault="00BB1376" w:rsidP="00BB1376">
            <w:pPr>
              <w:pStyle w:val="a3"/>
              <w:jc w:val="both"/>
              <w:rPr>
                <w:color w:val="626262"/>
                <w:sz w:val="20"/>
                <w:szCs w:val="20"/>
              </w:rPr>
            </w:pPr>
            <w:r>
              <w:rPr>
                <w:color w:val="626262"/>
                <w:sz w:val="20"/>
                <w:szCs w:val="20"/>
              </w:rPr>
              <w:t>Признание и прекращение признания</w:t>
            </w:r>
          </w:p>
          <w:p w:rsidR="00BB1376" w:rsidRDefault="00BB1376" w:rsidP="00BB1376">
            <w:pPr>
              <w:pStyle w:val="a3"/>
              <w:jc w:val="both"/>
              <w:rPr>
                <w:color w:val="626262"/>
                <w:sz w:val="20"/>
                <w:szCs w:val="20"/>
              </w:rPr>
            </w:pPr>
            <w:r>
              <w:rPr>
                <w:color w:val="626262"/>
                <w:sz w:val="20"/>
                <w:szCs w:val="20"/>
              </w:rPr>
              <w:t>Первоначальное признание</w:t>
            </w:r>
          </w:p>
          <w:p w:rsidR="00BB1376" w:rsidRDefault="00BB1376" w:rsidP="00BB1376">
            <w:pPr>
              <w:pStyle w:val="a3"/>
              <w:jc w:val="both"/>
              <w:rPr>
                <w:color w:val="626262"/>
                <w:sz w:val="20"/>
                <w:szCs w:val="20"/>
              </w:rPr>
            </w:pPr>
            <w:r>
              <w:rPr>
                <w:color w:val="626262"/>
                <w:sz w:val="20"/>
                <w:szCs w:val="20"/>
              </w:rPr>
              <w:t>14           Предприятию следует признавать финансовый актив или финансовое обязательство в своем балансе только тогда, когда оно становится стороной договорных положений инструмента. (См. параграф 38, касающийся стандартной процедуры покупки финансовых активов.)</w:t>
            </w:r>
          </w:p>
          <w:p w:rsidR="00BB1376" w:rsidRDefault="00BB1376" w:rsidP="00BB1376">
            <w:pPr>
              <w:pStyle w:val="a3"/>
              <w:jc w:val="both"/>
              <w:rPr>
                <w:color w:val="626262"/>
                <w:sz w:val="20"/>
                <w:szCs w:val="20"/>
              </w:rPr>
            </w:pPr>
            <w:r>
              <w:rPr>
                <w:color w:val="626262"/>
                <w:sz w:val="20"/>
                <w:szCs w:val="20"/>
              </w:rPr>
              <w:t>Прекращение признания финансового актива</w:t>
            </w:r>
          </w:p>
          <w:p w:rsidR="00BB1376" w:rsidRDefault="00BB1376" w:rsidP="00BB1376">
            <w:pPr>
              <w:pStyle w:val="a3"/>
              <w:jc w:val="both"/>
              <w:rPr>
                <w:color w:val="626262"/>
                <w:sz w:val="20"/>
                <w:szCs w:val="20"/>
              </w:rPr>
            </w:pPr>
            <w:r>
              <w:rPr>
                <w:color w:val="626262"/>
                <w:sz w:val="20"/>
                <w:szCs w:val="20"/>
              </w:rPr>
              <w:t>15           В консолидированной финансовой отчетности параграфы 16-23 и параграфы AG34-AG52 приложения А применяются для консолидированного уровня. Следовательно, предприятие сначала консолидирует все дочерние предприятия в соответствии с МСФО (IAS) 27 и ПКР (SIC) 12</w:t>
            </w:r>
            <w:r>
              <w:rPr>
                <w:rStyle w:val="apple-converted-space"/>
                <w:color w:val="626262"/>
                <w:sz w:val="20"/>
                <w:szCs w:val="20"/>
              </w:rPr>
              <w:t> </w:t>
            </w:r>
            <w:r>
              <w:rPr>
                <w:rStyle w:val="a5"/>
                <w:color w:val="626262"/>
                <w:sz w:val="20"/>
                <w:szCs w:val="20"/>
              </w:rPr>
              <w:t>«Консолидация - предприятия специального назначения»</w:t>
            </w:r>
            <w:r>
              <w:rPr>
                <w:color w:val="626262"/>
                <w:sz w:val="20"/>
                <w:szCs w:val="20"/>
              </w:rPr>
              <w:t>, а затем применяет параграфы 16-23 и параграфы AG34-AG52 приложения А к получившейся в результате группе.</w:t>
            </w:r>
          </w:p>
          <w:p w:rsidR="00BB1376" w:rsidRDefault="00BB1376" w:rsidP="00BB1376">
            <w:pPr>
              <w:pStyle w:val="a3"/>
              <w:jc w:val="both"/>
              <w:rPr>
                <w:color w:val="626262"/>
                <w:sz w:val="20"/>
                <w:szCs w:val="20"/>
              </w:rPr>
            </w:pPr>
            <w:r>
              <w:rPr>
                <w:color w:val="626262"/>
                <w:sz w:val="20"/>
                <w:szCs w:val="20"/>
              </w:rPr>
              <w:t>16           Прежде чем оценить, является ли уместным прекращение признания согласно параграфам 17-23, и в какой степени, предприятие определяет, следует ли применять эти параграфы к части финансового актива (или части группы аналогичных финансовых активов) или финансовому активу (или группе аналогичных финансовых активов) в целом, следующим образом:</w:t>
            </w:r>
          </w:p>
          <w:p w:rsidR="00BB1376" w:rsidRDefault="00BB1376" w:rsidP="00BB1376">
            <w:pPr>
              <w:pStyle w:val="a3"/>
              <w:jc w:val="both"/>
              <w:rPr>
                <w:color w:val="626262"/>
                <w:sz w:val="20"/>
                <w:szCs w:val="20"/>
              </w:rPr>
            </w:pPr>
            <w:r>
              <w:rPr>
                <w:color w:val="626262"/>
                <w:sz w:val="20"/>
                <w:szCs w:val="20"/>
              </w:rPr>
              <w:t>(а)           параграфы 17-23 применяются к части финансового актива (или части группы аналогичных финансовых активов) только в случае, если для части, рассматриваемой на предмет прекращения ее признания, выполняется одно из трех следующих условий:</w:t>
            </w:r>
          </w:p>
          <w:p w:rsidR="00BB1376" w:rsidRDefault="00BB1376" w:rsidP="00BB1376">
            <w:pPr>
              <w:pStyle w:val="a3"/>
              <w:jc w:val="both"/>
              <w:rPr>
                <w:color w:val="626262"/>
                <w:sz w:val="20"/>
                <w:szCs w:val="20"/>
              </w:rPr>
            </w:pPr>
            <w:r>
              <w:rPr>
                <w:color w:val="626262"/>
                <w:sz w:val="20"/>
                <w:szCs w:val="20"/>
              </w:rPr>
              <w:t>(i)            эта часть включает только конкретно идентифицированные потоки денежных средств от финансового актива (или группы аналогичных финансовых активов). Например, если предприятие заключает процентный стрип, по которому другая сторона сделки получает право потоки денежных средств от процентов, но не на основные потоки денежных средств от долгового инструмента, то параграфы 17-23 применяются к потокам денежных средств от процентов;</w:t>
            </w:r>
          </w:p>
          <w:p w:rsidR="00BB1376" w:rsidRDefault="00BB1376" w:rsidP="00BB1376">
            <w:pPr>
              <w:pStyle w:val="a3"/>
              <w:jc w:val="both"/>
              <w:rPr>
                <w:color w:val="626262"/>
                <w:sz w:val="20"/>
                <w:szCs w:val="20"/>
              </w:rPr>
            </w:pPr>
            <w:r>
              <w:rPr>
                <w:color w:val="626262"/>
                <w:sz w:val="20"/>
                <w:szCs w:val="20"/>
              </w:rPr>
              <w:t xml:space="preserve">(ii)           эта часть включает только полную пропорциональную (соразмерную) долю потоков денежных средств от финансового актива (или группы аналогичных финансовых активов). Например, если предприятие заключает соглашение, по которому другая сторона сделки получает право на 90-процентную </w:t>
            </w:r>
            <w:r>
              <w:rPr>
                <w:color w:val="626262"/>
                <w:sz w:val="20"/>
                <w:szCs w:val="20"/>
              </w:rPr>
              <w:lastRenderedPageBreak/>
              <w:t>долю всех потоков денежных средств от долгового инструмента, то параграфы 17-23 применяются к 90 процентам этих потоков денежных средств. Если количество встречных сторон более одной, то не требуется, чтобы каждая из них имела пропорциональную долю потоков денежных средств при условии, что передающее предприятие имеет полностью пропорциональную долю;</w:t>
            </w:r>
          </w:p>
          <w:p w:rsidR="00BB1376" w:rsidRDefault="00BB1376" w:rsidP="00BB1376">
            <w:pPr>
              <w:pStyle w:val="a3"/>
              <w:jc w:val="both"/>
              <w:rPr>
                <w:color w:val="626262"/>
                <w:sz w:val="20"/>
                <w:szCs w:val="20"/>
              </w:rPr>
            </w:pPr>
            <w:r>
              <w:rPr>
                <w:color w:val="626262"/>
                <w:sz w:val="20"/>
                <w:szCs w:val="20"/>
              </w:rPr>
              <w:t>(iii)         эта часть включает только полную пропорциональную (соразмерную) долю конкретно идентифицируемых потоков денежных средств от финансового актива (или группы аналогичных финансовых активов). Например, если предприятие заключает соглашение, по которому другая сторона сделки получает право на 90-процентную долю потоков денежных средств от процентов по финансовому активу, то параграфы 17-23 применяются к 90 процентам этих потоков денежных средств от процентов. Если количество встречных сторон более одной, то не требуется, чтобы каждая из них имела пропорциональную долю конкретно идентифицируемых потоков денежных средств при условии, что передающее предприятие имеет полностью пропорциональную долю;</w:t>
            </w:r>
          </w:p>
          <w:p w:rsidR="00BB1376" w:rsidRDefault="00BB1376" w:rsidP="00BB1376">
            <w:pPr>
              <w:pStyle w:val="a3"/>
              <w:jc w:val="both"/>
              <w:rPr>
                <w:color w:val="626262"/>
                <w:sz w:val="20"/>
                <w:szCs w:val="20"/>
              </w:rPr>
            </w:pPr>
            <w:r>
              <w:rPr>
                <w:color w:val="626262"/>
                <w:sz w:val="20"/>
                <w:szCs w:val="20"/>
              </w:rPr>
              <w:t>(b)           во всех остальных случаях параграфы 17-23 применяются ко всему финансовому активу (или ко всей группе аналогичных финансовых активов). Например, если предприятие передает (i) права на первые или последние 90 процентов поступлений денежных средств от финансового актива (или группы финансовых активов) или (ii) права на 90 процентов потоков денежных средств от группы дебиторской задолженности, но предоставляет гарантию для компенсации покупателю кредитных потерь в размере до 8 процентов от основной суммы дебиторской задолженности, то параграфы 17-23 применяются ко всему этому финансовому активу (или ко всей группе аналогичных финансовых активов).</w:t>
            </w:r>
          </w:p>
          <w:p w:rsidR="00BB1376" w:rsidRDefault="00BB1376" w:rsidP="00BB1376">
            <w:pPr>
              <w:pStyle w:val="a3"/>
              <w:jc w:val="both"/>
              <w:rPr>
                <w:color w:val="626262"/>
                <w:sz w:val="20"/>
                <w:szCs w:val="20"/>
              </w:rPr>
            </w:pPr>
            <w:r>
              <w:rPr>
                <w:color w:val="626262"/>
                <w:sz w:val="20"/>
                <w:szCs w:val="20"/>
              </w:rPr>
              <w:t>В параграфах 17-26 термин «финансовый актив» относится как к части финансового актива (или части группы аналогичных финансовых активов), как это определено в пункте (а) ранее, или ко всему финансовому активу (или всей группе аналогичных финансовых активов).</w:t>
            </w:r>
          </w:p>
          <w:p w:rsidR="00BB1376" w:rsidRDefault="00BB1376" w:rsidP="00BB1376">
            <w:pPr>
              <w:pStyle w:val="a3"/>
              <w:jc w:val="both"/>
              <w:rPr>
                <w:color w:val="626262"/>
                <w:sz w:val="20"/>
                <w:szCs w:val="20"/>
              </w:rPr>
            </w:pPr>
            <w:r>
              <w:rPr>
                <w:color w:val="626262"/>
                <w:sz w:val="20"/>
                <w:szCs w:val="20"/>
              </w:rPr>
              <w:t>17           Предприятие должно прекратить признание финансового актива только тогда, когда:</w:t>
            </w:r>
          </w:p>
          <w:p w:rsidR="00BB1376" w:rsidRDefault="00BB1376" w:rsidP="00BB1376">
            <w:pPr>
              <w:pStyle w:val="a3"/>
              <w:jc w:val="both"/>
              <w:rPr>
                <w:color w:val="626262"/>
                <w:sz w:val="20"/>
                <w:szCs w:val="20"/>
              </w:rPr>
            </w:pPr>
            <w:r>
              <w:rPr>
                <w:color w:val="626262"/>
                <w:sz w:val="20"/>
                <w:szCs w:val="20"/>
              </w:rPr>
              <w:t>(а)           истекает срок действия договорных прав на потоки денежных средств от этого финансового актива; или</w:t>
            </w:r>
          </w:p>
          <w:p w:rsidR="00BB1376" w:rsidRDefault="00BB1376" w:rsidP="00BB1376">
            <w:pPr>
              <w:pStyle w:val="a3"/>
              <w:jc w:val="both"/>
              <w:rPr>
                <w:color w:val="626262"/>
                <w:sz w:val="20"/>
                <w:szCs w:val="20"/>
              </w:rPr>
            </w:pPr>
            <w:r>
              <w:rPr>
                <w:color w:val="626262"/>
                <w:sz w:val="20"/>
                <w:szCs w:val="20"/>
              </w:rPr>
              <w:t>(b)           оно передает финансовый актив, как изложено в параграфах 18 и 19, и при этом передача удовлетворяет требованиям прекращения признания в соответствии с параграфом 20.</w:t>
            </w:r>
          </w:p>
          <w:p w:rsidR="00BB1376" w:rsidRDefault="00BB1376" w:rsidP="00BB1376">
            <w:pPr>
              <w:pStyle w:val="a3"/>
              <w:jc w:val="both"/>
              <w:rPr>
                <w:color w:val="626262"/>
                <w:sz w:val="20"/>
                <w:szCs w:val="20"/>
              </w:rPr>
            </w:pPr>
            <w:r>
              <w:rPr>
                <w:color w:val="626262"/>
                <w:sz w:val="20"/>
                <w:szCs w:val="20"/>
              </w:rPr>
              <w:t>(См. параграф 38 относительно стандартной процедуры покупки финансовых активов.)</w:t>
            </w:r>
          </w:p>
          <w:p w:rsidR="00BB1376" w:rsidRDefault="00BB1376" w:rsidP="00BB1376">
            <w:pPr>
              <w:pStyle w:val="a3"/>
              <w:jc w:val="both"/>
              <w:rPr>
                <w:color w:val="626262"/>
                <w:sz w:val="20"/>
                <w:szCs w:val="20"/>
              </w:rPr>
            </w:pPr>
            <w:r>
              <w:rPr>
                <w:color w:val="626262"/>
                <w:sz w:val="20"/>
                <w:szCs w:val="20"/>
              </w:rPr>
              <w:t>18           Предприятие передает финансовый актив только тогда, когда:</w:t>
            </w:r>
          </w:p>
          <w:p w:rsidR="00BB1376" w:rsidRDefault="00BB1376" w:rsidP="00BB1376">
            <w:pPr>
              <w:pStyle w:val="a3"/>
              <w:jc w:val="both"/>
              <w:rPr>
                <w:color w:val="626262"/>
                <w:sz w:val="20"/>
                <w:szCs w:val="20"/>
              </w:rPr>
            </w:pPr>
            <w:r>
              <w:rPr>
                <w:color w:val="626262"/>
                <w:sz w:val="20"/>
                <w:szCs w:val="20"/>
              </w:rPr>
              <w:t>(а)           оно передает договорные права на получение потоков денежных средств от этого финансового актива; или</w:t>
            </w:r>
          </w:p>
          <w:p w:rsidR="00BB1376" w:rsidRDefault="00BB1376" w:rsidP="00BB1376">
            <w:pPr>
              <w:pStyle w:val="a3"/>
              <w:jc w:val="both"/>
              <w:rPr>
                <w:color w:val="626262"/>
                <w:sz w:val="20"/>
                <w:szCs w:val="20"/>
              </w:rPr>
            </w:pPr>
            <w:r>
              <w:rPr>
                <w:color w:val="626262"/>
                <w:sz w:val="20"/>
                <w:szCs w:val="20"/>
              </w:rPr>
              <w:t>(b)           сохраняет договорные права на получение потоков денежных средств от финансового актива, но принимает на себя договорное обязательство выплатить эти денежные средства одному или более получателям по соглашению, которое удовлетворяет условиям, приведенным в параграфе 19.</w:t>
            </w:r>
          </w:p>
          <w:p w:rsidR="00BB1376" w:rsidRDefault="00BB1376" w:rsidP="00BB1376">
            <w:pPr>
              <w:pStyle w:val="a3"/>
              <w:jc w:val="both"/>
              <w:rPr>
                <w:color w:val="626262"/>
                <w:sz w:val="20"/>
                <w:szCs w:val="20"/>
              </w:rPr>
            </w:pPr>
            <w:r>
              <w:rPr>
                <w:color w:val="626262"/>
                <w:sz w:val="20"/>
                <w:szCs w:val="20"/>
              </w:rPr>
              <w:t>19           Если предприятие сохраняет договорные права на получение потоков денежных средств от финансового актива («первоначального актива»), но принимает на себя договорное обязательство выплатить эти денежные средства одному или более предприятиям («конечным получателям»), это предприятие рассматривает данную операцию как передачу финансового актива только тогда, когда выполняются три следующие условия:</w:t>
            </w:r>
          </w:p>
          <w:p w:rsidR="00BB1376" w:rsidRDefault="00BB1376" w:rsidP="00BB1376">
            <w:pPr>
              <w:pStyle w:val="a3"/>
              <w:jc w:val="both"/>
              <w:rPr>
                <w:color w:val="626262"/>
                <w:sz w:val="20"/>
                <w:szCs w:val="20"/>
              </w:rPr>
            </w:pPr>
            <w:r>
              <w:rPr>
                <w:color w:val="626262"/>
                <w:sz w:val="20"/>
                <w:szCs w:val="20"/>
              </w:rPr>
              <w:t>(а)           предприятие не имеет обязательства выплатить суммы конечным получателям, если оно не получит эквивалентные суммы по первоначальному активу. Выдача предприятиям краткосрочных авансов с правом полного возмещения выданной суммы плюс начисленных процентов по рыночной ставке, не нарушает это условия;</w:t>
            </w:r>
          </w:p>
          <w:p w:rsidR="00BB1376" w:rsidRDefault="00BB1376" w:rsidP="00BB1376">
            <w:pPr>
              <w:pStyle w:val="a3"/>
              <w:jc w:val="both"/>
              <w:rPr>
                <w:color w:val="626262"/>
                <w:sz w:val="20"/>
                <w:szCs w:val="20"/>
              </w:rPr>
            </w:pPr>
            <w:r>
              <w:rPr>
                <w:color w:val="626262"/>
                <w:sz w:val="20"/>
                <w:szCs w:val="20"/>
              </w:rPr>
              <w:t>(b)           условиями договора по передаче денежных средств предприятию запрещается продавать или отдавать в залог первоначальный актив, за исключением передачи его конечному получателю в качестве обеспечения обязательства выплатить денежные средства;</w:t>
            </w:r>
          </w:p>
          <w:p w:rsidR="00BB1376" w:rsidRDefault="00BB1376" w:rsidP="00BB1376">
            <w:pPr>
              <w:pStyle w:val="a3"/>
              <w:jc w:val="both"/>
              <w:rPr>
                <w:color w:val="626262"/>
                <w:sz w:val="20"/>
                <w:szCs w:val="20"/>
              </w:rPr>
            </w:pPr>
            <w:r>
              <w:rPr>
                <w:color w:val="626262"/>
                <w:sz w:val="20"/>
                <w:szCs w:val="20"/>
              </w:rPr>
              <w:lastRenderedPageBreak/>
              <w:t>(c)           у предприятия есть обязательство перечислять денежные средства, собираемые от имени конечного получателя, без существенных задержек. Кроме того, у предприятия нет права реинвестировать такие денежные средства, за исключением инвестиций в денежные средства или эквиваленты денежных средств (как определено в МСФО (IAS) 7</w:t>
            </w:r>
            <w:r>
              <w:rPr>
                <w:rStyle w:val="apple-converted-space"/>
                <w:color w:val="626262"/>
                <w:sz w:val="20"/>
                <w:szCs w:val="20"/>
              </w:rPr>
              <w:t> </w:t>
            </w:r>
            <w:r>
              <w:rPr>
                <w:rStyle w:val="a5"/>
                <w:color w:val="626262"/>
                <w:sz w:val="20"/>
                <w:szCs w:val="20"/>
              </w:rPr>
              <w:t>«Отчеты о движении денежных средств»</w:t>
            </w:r>
            <w:r>
              <w:rPr>
                <w:color w:val="626262"/>
                <w:sz w:val="20"/>
                <w:szCs w:val="20"/>
              </w:rPr>
              <w:t>), в течение короткого периода проведения расчетов от даты получения денежных средств до даты требуемого перечисления их окончательному получателю, при этом проценты, заработанные от такой инвестиции, передаются конечному получателю.</w:t>
            </w:r>
          </w:p>
          <w:p w:rsidR="00BB1376" w:rsidRDefault="00BB1376" w:rsidP="00BB1376">
            <w:pPr>
              <w:pStyle w:val="a3"/>
              <w:jc w:val="both"/>
              <w:rPr>
                <w:color w:val="626262"/>
                <w:sz w:val="20"/>
                <w:szCs w:val="20"/>
              </w:rPr>
            </w:pPr>
            <w:r>
              <w:rPr>
                <w:color w:val="626262"/>
                <w:sz w:val="20"/>
                <w:szCs w:val="20"/>
              </w:rPr>
              <w:t>20           Когда предприятие передает финансовый актив (см. параграф 18), ему следует оценить степень, в которой оно сохраняет риски и вознаграждения, связанные с владением финансовым активом. В этом случае:</w:t>
            </w:r>
          </w:p>
          <w:p w:rsidR="00BB1376" w:rsidRDefault="00BB1376" w:rsidP="00BB1376">
            <w:pPr>
              <w:pStyle w:val="a3"/>
              <w:jc w:val="both"/>
              <w:rPr>
                <w:color w:val="626262"/>
                <w:sz w:val="20"/>
                <w:szCs w:val="20"/>
              </w:rPr>
            </w:pPr>
            <w:r>
              <w:rPr>
                <w:color w:val="626262"/>
                <w:sz w:val="20"/>
                <w:szCs w:val="20"/>
              </w:rPr>
              <w:t>(а)           если предприятие передает практически все риски и вознаграждения, связанные с владением финансовым активом, то оно должно прекратить признание финансового актива и признать отдельно в качестве активов или обязательств те права и обязательства, которые были созданы или сохранены при передаче;</w:t>
            </w:r>
          </w:p>
          <w:p w:rsidR="00BB1376" w:rsidRDefault="00BB1376" w:rsidP="00BB1376">
            <w:pPr>
              <w:pStyle w:val="a3"/>
              <w:jc w:val="both"/>
              <w:rPr>
                <w:color w:val="626262"/>
                <w:sz w:val="20"/>
                <w:szCs w:val="20"/>
              </w:rPr>
            </w:pPr>
            <w:r>
              <w:rPr>
                <w:color w:val="626262"/>
                <w:sz w:val="20"/>
                <w:szCs w:val="20"/>
              </w:rPr>
              <w:t>(b)           если предприятие сохраняет практически все риски и вознаграждения, связанные с владением финансовым активом, то оно должно продолжать признавать финансовый актив;</w:t>
            </w:r>
          </w:p>
          <w:p w:rsidR="00BB1376" w:rsidRDefault="00BB1376" w:rsidP="00BB1376">
            <w:pPr>
              <w:pStyle w:val="a3"/>
              <w:jc w:val="both"/>
              <w:rPr>
                <w:color w:val="626262"/>
                <w:sz w:val="20"/>
                <w:szCs w:val="20"/>
              </w:rPr>
            </w:pPr>
            <w:r>
              <w:rPr>
                <w:color w:val="626262"/>
                <w:sz w:val="20"/>
                <w:szCs w:val="20"/>
              </w:rPr>
              <w:t>(c)           если предприятие не передает и не сохраняет практически все риски и вознаграждения, связанные с владением финансовым активом, то оно должно определить, сохраняется ли контроль над финансовым активом. В этом случае:</w:t>
            </w:r>
          </w:p>
          <w:p w:rsidR="00BB1376" w:rsidRDefault="00BB1376" w:rsidP="00BB1376">
            <w:pPr>
              <w:pStyle w:val="a3"/>
              <w:jc w:val="both"/>
              <w:rPr>
                <w:color w:val="626262"/>
                <w:sz w:val="20"/>
                <w:szCs w:val="20"/>
              </w:rPr>
            </w:pPr>
            <w:r>
              <w:rPr>
                <w:color w:val="626262"/>
                <w:sz w:val="20"/>
                <w:szCs w:val="20"/>
              </w:rPr>
              <w:t>(i)            если предприятие не сохраняет контроль, то оно должно прекратить признание финансового актива и признать отдельно в качестве активов или обязательств те права и обязательства, которые были созданы или сохранены при передаче;</w:t>
            </w:r>
          </w:p>
          <w:p w:rsidR="00BB1376" w:rsidRDefault="00BB1376" w:rsidP="00BB1376">
            <w:pPr>
              <w:pStyle w:val="a3"/>
              <w:jc w:val="both"/>
              <w:rPr>
                <w:color w:val="626262"/>
                <w:sz w:val="20"/>
                <w:szCs w:val="20"/>
              </w:rPr>
            </w:pPr>
            <w:r>
              <w:rPr>
                <w:color w:val="626262"/>
                <w:sz w:val="20"/>
                <w:szCs w:val="20"/>
              </w:rPr>
              <w:t>(ii)           если предприятие сохраняет контроль, то оно должно продолжать признание финансового актива в той степени, в которой оно продолжает участвовать в финансовом активе (см. параграф 30).</w:t>
            </w:r>
          </w:p>
          <w:p w:rsidR="00BB1376" w:rsidRDefault="00BB1376" w:rsidP="00BB1376">
            <w:pPr>
              <w:pStyle w:val="a3"/>
              <w:jc w:val="both"/>
              <w:rPr>
                <w:color w:val="626262"/>
                <w:sz w:val="20"/>
                <w:szCs w:val="20"/>
              </w:rPr>
            </w:pPr>
            <w:r>
              <w:rPr>
                <w:color w:val="626262"/>
                <w:sz w:val="20"/>
                <w:szCs w:val="20"/>
              </w:rPr>
              <w:t>21           Передача рисков и вознаграждений (см. параграф 20) оценивается путем сравнения риска изменения сумм и сроков чистых денежных потоков от переданного актива, которому подвержено предприятие до и после его передачи. Предприятие сохранило по существу все риски и вознаграждения, связанные с владением финансовым активом, если риск изменения приведенной стоимости будущих чистых потоков денежных средств от финансового актива, которому подвергается предприятие, существенно не меняется в результате передачи (например, в связи с тем, что предприятие продало финансовый актив по договору с обратной покупкой по фиксированной цене или по цене продажи плюс доход кредитора). Предприятие передало по существу все риски и вознаграждения, связанные с владением финансовым активом, если риск этих изменений не является более существенным по отношению к общим возможным изменениям приведенной стоимости будущих чистых потоков денежных средств, связанных с финансовым активом (например, в связи с тем, что предприятие продало финансовый актив на условии только возможности выкупить его обратно по справедливой цене на момент обратной покупки или передало полностью пропорциональную долю потоков денежных средств от большего финансового актива по такому соглашению, как участие в займе, которое отвечает условиям параграфа 19).</w:t>
            </w:r>
          </w:p>
          <w:p w:rsidR="00BB1376" w:rsidRDefault="00BB1376" w:rsidP="00BB1376">
            <w:pPr>
              <w:pStyle w:val="a3"/>
              <w:jc w:val="both"/>
              <w:rPr>
                <w:color w:val="626262"/>
                <w:sz w:val="20"/>
                <w:szCs w:val="20"/>
              </w:rPr>
            </w:pPr>
            <w:r>
              <w:rPr>
                <w:color w:val="626262"/>
                <w:sz w:val="20"/>
                <w:szCs w:val="20"/>
              </w:rPr>
              <w:t>22           Во многих случаях бывает очевидным, что предприятие передало либо сохранило практически все риски и вознаграждения, связанные с владением финансовым активом, и нет необходимости в выполнении каких-либо расчетов. В других случаях необходимо рассчитать и сравнить воздействие на предприятие изменений приведенной стоимости будущих чистых потоков денежных средств до и после передачи. Расчет и сравнение делаются с использованием в качестве ставки дисконтирования соответствующей текущей рыночной процентной ставки. Во внимание принимаются все обоснованно возможные изменения чистых потоков денежных средств, при этом большее значение придается тем результатам, вероятность возникновения которых выше.</w:t>
            </w:r>
          </w:p>
          <w:p w:rsidR="00BB1376" w:rsidRDefault="00BB1376" w:rsidP="00BB1376">
            <w:pPr>
              <w:pStyle w:val="a3"/>
              <w:jc w:val="both"/>
              <w:rPr>
                <w:color w:val="626262"/>
                <w:sz w:val="20"/>
                <w:szCs w:val="20"/>
              </w:rPr>
            </w:pPr>
            <w:r>
              <w:rPr>
                <w:color w:val="626262"/>
                <w:sz w:val="20"/>
                <w:szCs w:val="20"/>
              </w:rPr>
              <w:t xml:space="preserve">23           Сохранение предприятием контроля (см. параграф 20(с)) над переданным активом зависит от возможности принимающей стороны продать актив. Если у принимающей стороны есть практическая возможность продать весь актив несвязанной третьей стороне, и при этом принимающая сторона может использовать такую возможность односторонне, без необходимости налагать дополнительные ограничения на такую передачу, то предприятие не сохранило контроль. Во всех других случаях предприятие сохраняет </w:t>
            </w:r>
            <w:r>
              <w:rPr>
                <w:color w:val="626262"/>
                <w:sz w:val="20"/>
                <w:szCs w:val="20"/>
              </w:rPr>
              <w:lastRenderedPageBreak/>
              <w:t>контроль.</w:t>
            </w:r>
          </w:p>
          <w:p w:rsidR="00BB1376" w:rsidRDefault="00BB1376" w:rsidP="00BB1376">
            <w:pPr>
              <w:pStyle w:val="a3"/>
              <w:jc w:val="both"/>
              <w:rPr>
                <w:color w:val="626262"/>
                <w:sz w:val="20"/>
                <w:szCs w:val="20"/>
              </w:rPr>
            </w:pPr>
            <w:r>
              <w:rPr>
                <w:color w:val="626262"/>
                <w:sz w:val="20"/>
                <w:szCs w:val="20"/>
              </w:rPr>
              <w:t>Передачи, удовлетворяющие требованиям для прекращения признания (см. параграфы 20 (а) и (с)(i))</w:t>
            </w:r>
          </w:p>
          <w:p w:rsidR="00BB1376" w:rsidRDefault="00BB1376" w:rsidP="00BB1376">
            <w:pPr>
              <w:pStyle w:val="a3"/>
              <w:jc w:val="both"/>
              <w:rPr>
                <w:color w:val="626262"/>
                <w:sz w:val="20"/>
                <w:szCs w:val="20"/>
              </w:rPr>
            </w:pPr>
            <w:r>
              <w:rPr>
                <w:color w:val="626262"/>
                <w:sz w:val="20"/>
                <w:szCs w:val="20"/>
              </w:rPr>
              <w:t>24           Если предприятие передает финансовый актив таким образом, что передача удовлетворяет требованиям для прекращения признания в полном объеме, и сохраняет право обслуживать финансовый актив за вознаграждение, то оно должно признать актив или обязательство по такому контракту на обслуживание. Если ожидается, что подлежащее получению вознаграждение не компенсирует предприятию осуществление обслуживания в достаточной мере, то должно признаваться обязательство по обслуживанию по справедливой стоимости. Если ожидается, что подлежащее получению вознаграждение будет более чем достаточной компенсацией за обслуживание, должен признаваться то актив по обслуживанию в сумме, определенной на основе распределения балансовой стоимости большего финансового актива в соответствии с параграфом 27.</w:t>
            </w:r>
          </w:p>
          <w:p w:rsidR="00BB1376" w:rsidRDefault="00BB1376" w:rsidP="00BB1376">
            <w:pPr>
              <w:pStyle w:val="a3"/>
              <w:jc w:val="both"/>
              <w:rPr>
                <w:color w:val="626262"/>
                <w:sz w:val="20"/>
                <w:szCs w:val="20"/>
              </w:rPr>
            </w:pPr>
            <w:r>
              <w:rPr>
                <w:color w:val="626262"/>
                <w:sz w:val="20"/>
                <w:szCs w:val="20"/>
              </w:rPr>
              <w:t>25           Если в результате передачи признание финансового актива прекращено в полном объеме, но передача приводит к появлению у предприятия нового финансового актива или принятию нового финансового обязательства, или обязательства по обслуживанию, то предприятие должно признать новый финансовый актив, финансовое обязательство или обязательство по обслуживанию по справедливой стоимости.</w:t>
            </w:r>
          </w:p>
          <w:p w:rsidR="00BB1376" w:rsidRDefault="00BB1376" w:rsidP="00BB1376">
            <w:pPr>
              <w:pStyle w:val="a3"/>
              <w:jc w:val="both"/>
              <w:rPr>
                <w:color w:val="626262"/>
                <w:sz w:val="20"/>
                <w:szCs w:val="20"/>
              </w:rPr>
            </w:pPr>
            <w:r>
              <w:rPr>
                <w:color w:val="626262"/>
                <w:sz w:val="20"/>
                <w:szCs w:val="20"/>
              </w:rPr>
              <w:t>26           При прекращении признания финансового актива в полном объеме разница между</w:t>
            </w:r>
          </w:p>
          <w:p w:rsidR="00BB1376" w:rsidRDefault="00BB1376" w:rsidP="00BB1376">
            <w:pPr>
              <w:pStyle w:val="a3"/>
              <w:jc w:val="both"/>
              <w:rPr>
                <w:color w:val="626262"/>
                <w:sz w:val="20"/>
                <w:szCs w:val="20"/>
              </w:rPr>
            </w:pPr>
            <w:r>
              <w:rPr>
                <w:color w:val="626262"/>
                <w:sz w:val="20"/>
                <w:szCs w:val="20"/>
              </w:rPr>
              <w:t>(а)           балансовой стоимостью и</w:t>
            </w:r>
          </w:p>
          <w:p w:rsidR="00BB1376" w:rsidRDefault="00BB1376" w:rsidP="00BB1376">
            <w:pPr>
              <w:pStyle w:val="a3"/>
              <w:jc w:val="both"/>
              <w:rPr>
                <w:color w:val="626262"/>
                <w:sz w:val="20"/>
                <w:szCs w:val="20"/>
              </w:rPr>
            </w:pPr>
            <w:r>
              <w:rPr>
                <w:color w:val="626262"/>
                <w:sz w:val="20"/>
                <w:szCs w:val="20"/>
              </w:rPr>
              <w:t>(b)           суммой (i) полученного возмещения (включая новые полученные активы за вычетом новых принятых обязательств) и (ii) накопленного дохода или убытка, признанного непосредственно в собственном капитале (см. параграф 55 (b),</w:t>
            </w:r>
          </w:p>
          <w:p w:rsidR="00BB1376" w:rsidRDefault="00BB1376" w:rsidP="00BB1376">
            <w:pPr>
              <w:pStyle w:val="a3"/>
              <w:jc w:val="both"/>
              <w:rPr>
                <w:color w:val="626262"/>
                <w:sz w:val="20"/>
                <w:szCs w:val="20"/>
              </w:rPr>
            </w:pPr>
            <w:r>
              <w:rPr>
                <w:color w:val="626262"/>
                <w:sz w:val="20"/>
                <w:szCs w:val="20"/>
              </w:rPr>
              <w:t>должна быть признана в составе прибыли или убытка.</w:t>
            </w:r>
          </w:p>
          <w:p w:rsidR="00BB1376" w:rsidRDefault="00BB1376" w:rsidP="00BB1376">
            <w:pPr>
              <w:pStyle w:val="a3"/>
              <w:jc w:val="both"/>
              <w:rPr>
                <w:color w:val="626262"/>
                <w:sz w:val="20"/>
                <w:szCs w:val="20"/>
              </w:rPr>
            </w:pPr>
            <w:r>
              <w:rPr>
                <w:color w:val="626262"/>
                <w:sz w:val="20"/>
                <w:szCs w:val="20"/>
              </w:rPr>
              <w:t> </w:t>
            </w:r>
          </w:p>
          <w:p w:rsidR="00BB1376" w:rsidRDefault="00BB1376" w:rsidP="00BB1376">
            <w:pPr>
              <w:pStyle w:val="a3"/>
              <w:jc w:val="both"/>
              <w:rPr>
                <w:color w:val="626262"/>
                <w:sz w:val="20"/>
                <w:szCs w:val="20"/>
              </w:rPr>
            </w:pPr>
            <w:r>
              <w:rPr>
                <w:color w:val="626262"/>
                <w:sz w:val="20"/>
                <w:szCs w:val="20"/>
              </w:rPr>
              <w:t>27           Если переданный актив является частью большего финансового актива (например, когда предприятие передает потоки денежных средств от процентов, являющиеся частью долгового инструмента (см. параграф 16(a) и эта переданная часть удовлетворяет требованиям для прекращения признания в полном объеме, то предшествующая балансовая стоимость большего финансового актива должна быть распределена между частью, признание которой продолжается, и частью, признание которой прекращено, основываясь на относительной справедливой стоимости этих частей на дату передачи. Для этой цели сохраняемый актив по обслуживанию должен быть учтен как часть, признание которой продолжается. Разница между</w:t>
            </w:r>
          </w:p>
          <w:p w:rsidR="00BB1376" w:rsidRDefault="00BB1376" w:rsidP="00BB1376">
            <w:pPr>
              <w:pStyle w:val="a3"/>
              <w:jc w:val="both"/>
              <w:rPr>
                <w:color w:val="626262"/>
                <w:sz w:val="20"/>
                <w:szCs w:val="20"/>
              </w:rPr>
            </w:pPr>
            <w:r>
              <w:rPr>
                <w:color w:val="626262"/>
                <w:sz w:val="20"/>
                <w:szCs w:val="20"/>
              </w:rPr>
              <w:t>(а)           балансовой стоимостью, отнесенной на часть, признание которой прекращено, и</w:t>
            </w:r>
          </w:p>
          <w:p w:rsidR="00BB1376" w:rsidRDefault="00BB1376" w:rsidP="00BB1376">
            <w:pPr>
              <w:pStyle w:val="a3"/>
              <w:jc w:val="both"/>
              <w:rPr>
                <w:color w:val="626262"/>
                <w:sz w:val="20"/>
                <w:szCs w:val="20"/>
              </w:rPr>
            </w:pPr>
            <w:r>
              <w:rPr>
                <w:color w:val="626262"/>
                <w:sz w:val="20"/>
                <w:szCs w:val="20"/>
              </w:rPr>
              <w:t>(b)           суммой (i) возмещения, полученного за часть, признание которой прекращено (включая новые полученные активы за вычетом новых принятых обязательств) и (ii) накопленного дохода или убытка, отнесенного на эту часть, который был признан непосредственно в собственном капитале (см. параграф 55 (b),</w:t>
            </w:r>
          </w:p>
          <w:p w:rsidR="00BB1376" w:rsidRDefault="00BB1376" w:rsidP="00BB1376">
            <w:pPr>
              <w:pStyle w:val="a3"/>
              <w:jc w:val="both"/>
              <w:rPr>
                <w:color w:val="626262"/>
                <w:sz w:val="20"/>
                <w:szCs w:val="20"/>
              </w:rPr>
            </w:pPr>
            <w:r>
              <w:rPr>
                <w:color w:val="626262"/>
                <w:sz w:val="20"/>
                <w:szCs w:val="20"/>
              </w:rPr>
              <w:t>должна быть признана в составе прибыли или убытка. Накопленный доход или убыток, который был признан в собственном капитале, распределяется между частью, признание которой продолжается, и частью, признание которой прекращено, основываясь на относительной справедливой стоимости этих частей.</w:t>
            </w:r>
          </w:p>
          <w:p w:rsidR="00BB1376" w:rsidRDefault="00BB1376" w:rsidP="00BB1376">
            <w:pPr>
              <w:pStyle w:val="a3"/>
              <w:jc w:val="both"/>
              <w:rPr>
                <w:color w:val="626262"/>
                <w:sz w:val="20"/>
                <w:szCs w:val="20"/>
              </w:rPr>
            </w:pPr>
            <w:r>
              <w:rPr>
                <w:color w:val="626262"/>
                <w:sz w:val="20"/>
                <w:szCs w:val="20"/>
              </w:rPr>
              <w:t xml:space="preserve">28           Если предприятие распределяет предыдущую балансовую стоимость большего финансового актива между частью, признание которой продолжается, и частью, признание которой прекращено, то должна быть определена справедливая стоимость той части, признание которой продолжается. Если у предприятия имеется опыт продажи частей активов, аналогичных части, признание которой продолжается, или существуют другие рыночные операции для подобных частей активов, то последние цены фактических операций обеспечивают наилучшую расчетную оценку справедливой стоимости этой части актива. Если не существует котируемой цены или недавних рыночных операций, которые могли бы служить основанием для </w:t>
            </w:r>
            <w:r>
              <w:rPr>
                <w:color w:val="626262"/>
                <w:sz w:val="20"/>
                <w:szCs w:val="20"/>
              </w:rPr>
              <w:lastRenderedPageBreak/>
              <w:t>определения справедливой стоимости части актива, признание которой продолжается, наилучшей расчетной оценкой является разница между справедливой стоимостью большего финансового актива в целом и возмещением, полученным от принимающей стороны за часть актива, признание которой прекращено.</w:t>
            </w:r>
          </w:p>
          <w:p w:rsidR="00BB1376" w:rsidRDefault="00BB1376" w:rsidP="00BB1376">
            <w:pPr>
              <w:pStyle w:val="a3"/>
              <w:jc w:val="both"/>
              <w:rPr>
                <w:color w:val="626262"/>
                <w:sz w:val="20"/>
                <w:szCs w:val="20"/>
              </w:rPr>
            </w:pPr>
            <w:r>
              <w:rPr>
                <w:color w:val="626262"/>
                <w:sz w:val="20"/>
                <w:szCs w:val="20"/>
              </w:rPr>
              <w:t>Передачи, не удовлетворяющие требованиям для прекращения признания</w:t>
            </w:r>
            <w:r>
              <w:rPr>
                <w:rStyle w:val="apple-converted-space"/>
                <w:color w:val="626262"/>
                <w:sz w:val="20"/>
                <w:szCs w:val="20"/>
              </w:rPr>
              <w:t> </w:t>
            </w:r>
            <w:r>
              <w:rPr>
                <w:color w:val="626262"/>
                <w:sz w:val="20"/>
                <w:szCs w:val="20"/>
              </w:rPr>
              <w:br/>
              <w:t>(см. параграф 20 (b))</w:t>
            </w:r>
          </w:p>
          <w:p w:rsidR="00BB1376" w:rsidRDefault="00BB1376" w:rsidP="00BB1376">
            <w:pPr>
              <w:pStyle w:val="a3"/>
              <w:jc w:val="both"/>
              <w:rPr>
                <w:color w:val="626262"/>
                <w:sz w:val="20"/>
                <w:szCs w:val="20"/>
              </w:rPr>
            </w:pPr>
            <w:r>
              <w:rPr>
                <w:color w:val="626262"/>
                <w:sz w:val="20"/>
                <w:szCs w:val="20"/>
              </w:rPr>
              <w:t>29           Если передача не приводит к прекращению признания, потому что предприятие сохранило практически все риски и вознаграждения, связанные с владением переданным активом, то предприятие должно продолжать признавать переданный актив в полном объеме и должно признать финансовое обязательство в отношении полученного возмещения.. В последующие периоды предприятие должно признавать все доходы от переданного актива и все расходы, понесенные по финансовому обязательству.</w:t>
            </w:r>
          </w:p>
          <w:p w:rsidR="00BB1376" w:rsidRDefault="00BB1376" w:rsidP="00BB1376">
            <w:pPr>
              <w:pStyle w:val="a3"/>
              <w:jc w:val="both"/>
              <w:rPr>
                <w:color w:val="626262"/>
                <w:sz w:val="20"/>
                <w:szCs w:val="20"/>
              </w:rPr>
            </w:pPr>
            <w:r>
              <w:rPr>
                <w:color w:val="626262"/>
                <w:sz w:val="20"/>
                <w:szCs w:val="20"/>
              </w:rPr>
              <w:t>Продолжающееся участие в переданных активах</w:t>
            </w:r>
            <w:r>
              <w:rPr>
                <w:rStyle w:val="apple-converted-space"/>
                <w:color w:val="626262"/>
                <w:sz w:val="20"/>
                <w:szCs w:val="20"/>
              </w:rPr>
              <w:t> </w:t>
            </w:r>
            <w:r>
              <w:rPr>
                <w:color w:val="626262"/>
                <w:sz w:val="20"/>
                <w:szCs w:val="20"/>
              </w:rPr>
              <w:br/>
              <w:t>(см. параграф 20(c)(ii))</w:t>
            </w:r>
          </w:p>
          <w:p w:rsidR="00BB1376" w:rsidRDefault="00BB1376" w:rsidP="00BB1376">
            <w:pPr>
              <w:pStyle w:val="a3"/>
              <w:jc w:val="both"/>
              <w:rPr>
                <w:color w:val="626262"/>
                <w:sz w:val="20"/>
                <w:szCs w:val="20"/>
              </w:rPr>
            </w:pPr>
            <w:r>
              <w:rPr>
                <w:color w:val="626262"/>
                <w:sz w:val="20"/>
                <w:szCs w:val="20"/>
              </w:rPr>
              <w:t>30           Если предприятие ни передало, ни сохранило практически все риски и вознаграждения, связанные с владением переданным активом, и сохранило контроль над переданным активом, то предприятие продолжает признавать переданный актив в той степени, в какой продолжается его участие в данном активе. Степень продолжающегося участия предприятия в переданном активе является степенью его подверженности риску изменения стоимости переданного актива. Например:</w:t>
            </w:r>
          </w:p>
          <w:p w:rsidR="00BB1376" w:rsidRDefault="00BB1376" w:rsidP="00BB1376">
            <w:pPr>
              <w:pStyle w:val="a3"/>
              <w:jc w:val="both"/>
              <w:rPr>
                <w:color w:val="626262"/>
                <w:sz w:val="20"/>
                <w:szCs w:val="20"/>
              </w:rPr>
            </w:pPr>
            <w:r>
              <w:rPr>
                <w:color w:val="626262"/>
                <w:sz w:val="20"/>
                <w:szCs w:val="20"/>
              </w:rPr>
              <w:t>(а)           если продолжающееся участие предприятия принимает форму гарантии по переданному активу, то степень продолжающегося участия предприятия является наименьшей величиной из (i) балансовой стоимости актива и (ii) максимальной суммы полученного возмещения, которую предприятие может быть обязано вернуть («сумма гарантии»);</w:t>
            </w:r>
          </w:p>
          <w:p w:rsidR="00BB1376" w:rsidRDefault="00BB1376" w:rsidP="00BB1376">
            <w:pPr>
              <w:pStyle w:val="a3"/>
              <w:jc w:val="both"/>
              <w:rPr>
                <w:color w:val="626262"/>
                <w:sz w:val="20"/>
                <w:szCs w:val="20"/>
              </w:rPr>
            </w:pPr>
            <w:r>
              <w:rPr>
                <w:color w:val="626262"/>
                <w:sz w:val="20"/>
                <w:szCs w:val="20"/>
              </w:rPr>
              <w:t>(b)           если продолжающееся участие предприятия принимает форму выпущенного или купленного опциона (или того и другого вместе) на переданный актив, то степень продолжающегося участия предприятия является балансовой стоимостью переданного актива, который предприятие может выкупить. Однако в случае выпущенного опциона на продажу актива, измеряемого по справедливой стоимости, степень продолжающегося участия предприятия ограничена наименьшей величиной из справедливой стоимости переданного актива и цены исполнения опциона (см. параграф AG48);</w:t>
            </w:r>
          </w:p>
          <w:p w:rsidR="00BB1376" w:rsidRDefault="00BB1376" w:rsidP="00BB1376">
            <w:pPr>
              <w:pStyle w:val="a3"/>
              <w:jc w:val="both"/>
              <w:rPr>
                <w:color w:val="626262"/>
                <w:sz w:val="20"/>
                <w:szCs w:val="20"/>
              </w:rPr>
            </w:pPr>
            <w:r>
              <w:rPr>
                <w:color w:val="626262"/>
                <w:sz w:val="20"/>
                <w:szCs w:val="20"/>
              </w:rPr>
              <w:t>(c)           если продолжающееся участие предприятия принимает форму опциона, расчет по которому производится денежными средствами, или аналогичных оценочных резервов по переданному активу, то степень продолжающегося участия предприятия измеряется таким же образом, как и при опционе, расчет по которому ведется не денежными средствами, как изложено в пункте (b) ранее.</w:t>
            </w:r>
          </w:p>
          <w:p w:rsidR="00BB1376" w:rsidRDefault="00BB1376" w:rsidP="00BB1376">
            <w:pPr>
              <w:pStyle w:val="a3"/>
              <w:jc w:val="both"/>
              <w:rPr>
                <w:color w:val="626262"/>
                <w:sz w:val="20"/>
                <w:szCs w:val="20"/>
              </w:rPr>
            </w:pPr>
            <w:r>
              <w:rPr>
                <w:color w:val="626262"/>
                <w:sz w:val="20"/>
                <w:szCs w:val="20"/>
              </w:rPr>
              <w:t>31           Если предприятие продолжает признавать актив в той степени, в которой оно продолжает участвовать в нем, то предприятие также признает связанное обязательство. Несмотря на другие требования настоящего стандарта по измерению переданный актив и связанное обязательство измеряются на основе, отражающей права и обязательства, сохраняемые предприятием. Связанное обязательство измеряется таким образом, что чистая балансовая стоимость переданного актива и связанного обязательства является</w:t>
            </w:r>
          </w:p>
          <w:p w:rsidR="00BB1376" w:rsidRDefault="00BB1376" w:rsidP="00BB1376">
            <w:pPr>
              <w:pStyle w:val="a3"/>
              <w:jc w:val="both"/>
              <w:rPr>
                <w:color w:val="626262"/>
                <w:sz w:val="20"/>
                <w:szCs w:val="20"/>
              </w:rPr>
            </w:pPr>
            <w:r>
              <w:rPr>
                <w:color w:val="626262"/>
                <w:sz w:val="20"/>
                <w:szCs w:val="20"/>
              </w:rPr>
              <w:t>(а)           амортизированной стоимостью прав и обязательств, сохраняемых предприятием, если переданный актив измеряется по амортизированной стоимости; или</w:t>
            </w:r>
          </w:p>
          <w:p w:rsidR="00BB1376" w:rsidRDefault="00BB1376" w:rsidP="00BB1376">
            <w:pPr>
              <w:pStyle w:val="a3"/>
              <w:jc w:val="both"/>
              <w:rPr>
                <w:color w:val="626262"/>
                <w:sz w:val="20"/>
                <w:szCs w:val="20"/>
              </w:rPr>
            </w:pPr>
            <w:r>
              <w:rPr>
                <w:color w:val="626262"/>
                <w:sz w:val="20"/>
                <w:szCs w:val="20"/>
              </w:rPr>
              <w:t>(b)           равной справедливой стоимости сохраняемых предприятием прав и обязательств, измеряемых на самостоятельной основе, если переданный актив измеряется по справедливой стоимости.</w:t>
            </w:r>
          </w:p>
          <w:p w:rsidR="00BB1376" w:rsidRDefault="00BB1376" w:rsidP="00BB1376">
            <w:pPr>
              <w:pStyle w:val="a3"/>
              <w:jc w:val="both"/>
              <w:rPr>
                <w:color w:val="626262"/>
                <w:sz w:val="20"/>
                <w:szCs w:val="20"/>
              </w:rPr>
            </w:pPr>
            <w:r>
              <w:rPr>
                <w:color w:val="626262"/>
                <w:sz w:val="20"/>
                <w:szCs w:val="20"/>
              </w:rPr>
              <w:t>32           Предприятие должно продолжать признавать любой доход, возникающий от переданного актива, в той степени, в которой оно продолжает участвовать в нем, и должно признавать расходы, понесенные по связанному обязательству.</w:t>
            </w:r>
          </w:p>
          <w:p w:rsidR="00BB1376" w:rsidRDefault="00BB1376" w:rsidP="00BB1376">
            <w:pPr>
              <w:pStyle w:val="a3"/>
              <w:jc w:val="both"/>
              <w:rPr>
                <w:color w:val="626262"/>
                <w:sz w:val="20"/>
                <w:szCs w:val="20"/>
              </w:rPr>
            </w:pPr>
            <w:r>
              <w:rPr>
                <w:color w:val="626262"/>
                <w:sz w:val="20"/>
                <w:szCs w:val="20"/>
              </w:rPr>
              <w:t>33           В целях последующего измерения признанные изменения в справедливой стоимости переданного актива и связанного обязательства учитываются согласованно в соответствии с параграфом 55 и не должны взаимозачитываться.</w:t>
            </w:r>
          </w:p>
          <w:p w:rsidR="00BB1376" w:rsidRDefault="00BB1376" w:rsidP="00BB1376">
            <w:pPr>
              <w:pStyle w:val="a3"/>
              <w:jc w:val="both"/>
              <w:rPr>
                <w:color w:val="626262"/>
                <w:sz w:val="20"/>
                <w:szCs w:val="20"/>
              </w:rPr>
            </w:pPr>
            <w:r>
              <w:rPr>
                <w:color w:val="626262"/>
                <w:sz w:val="20"/>
                <w:szCs w:val="20"/>
              </w:rPr>
              <w:t xml:space="preserve">34           Если предприятие продолжает участвовать только в части финансового актива (например, когда </w:t>
            </w:r>
            <w:r>
              <w:rPr>
                <w:color w:val="626262"/>
                <w:sz w:val="20"/>
                <w:szCs w:val="20"/>
              </w:rPr>
              <w:lastRenderedPageBreak/>
              <w:t>предприятие сохраняет право обратной покупки части переданного актива или сохраняет остаточную долю в этом активе, которая не приводит к сохранению практически всех рисков и вознаграждений, связанных с владением активом, и при этом предприятие сохраняет контроль), то предприятие распределяет предыдущую балансовую стоимость финансового актива между частью, которую оно продолжает признавать в соответствии со своим продолжающимся участием, и частью, признание которой прекращено, основываясь на относительной справедливой стоимости этих частей на дату передачи. Для этих целей применяются требования параграфа 28. Разница между</w:t>
            </w:r>
          </w:p>
          <w:p w:rsidR="00BB1376" w:rsidRDefault="00BB1376" w:rsidP="00BB1376">
            <w:pPr>
              <w:pStyle w:val="a3"/>
              <w:jc w:val="both"/>
              <w:rPr>
                <w:color w:val="626262"/>
                <w:sz w:val="20"/>
                <w:szCs w:val="20"/>
              </w:rPr>
            </w:pPr>
            <w:r>
              <w:rPr>
                <w:color w:val="626262"/>
                <w:sz w:val="20"/>
                <w:szCs w:val="20"/>
              </w:rPr>
              <w:t>(а)           балансовой стоимостью, отнесенной на часть, которая более не признается, и</w:t>
            </w:r>
          </w:p>
          <w:p w:rsidR="00BB1376" w:rsidRDefault="00BB1376" w:rsidP="00BB1376">
            <w:pPr>
              <w:pStyle w:val="a3"/>
              <w:jc w:val="both"/>
              <w:rPr>
                <w:color w:val="626262"/>
                <w:sz w:val="20"/>
                <w:szCs w:val="20"/>
              </w:rPr>
            </w:pPr>
            <w:r>
              <w:rPr>
                <w:color w:val="626262"/>
                <w:sz w:val="20"/>
                <w:szCs w:val="20"/>
              </w:rPr>
              <w:t>(b)           суммой (i) возмещения, полученного за часть, более не признаваемую, и (ii) всего накопленного дохода или убытка, отнесенного на нее, который был признан непосредственно в собственном капитале (см. параграф 55 (b)),</w:t>
            </w:r>
          </w:p>
          <w:p w:rsidR="00BB1376" w:rsidRDefault="00BB1376" w:rsidP="00BB1376">
            <w:pPr>
              <w:pStyle w:val="a3"/>
              <w:jc w:val="both"/>
              <w:rPr>
                <w:color w:val="626262"/>
                <w:sz w:val="20"/>
                <w:szCs w:val="20"/>
              </w:rPr>
            </w:pPr>
            <w:r>
              <w:rPr>
                <w:color w:val="626262"/>
                <w:sz w:val="20"/>
                <w:szCs w:val="20"/>
              </w:rPr>
              <w:t>должна быть признана в составе прибыли или убытка. Накопленный доход или убыток, который был признан в собственном капитале, распределяется между частью, признание которой продолжается, и частью, более не признаваемой, на основе относительной справедливой стоимости этих частей.</w:t>
            </w:r>
          </w:p>
          <w:p w:rsidR="00BB1376" w:rsidRDefault="00BB1376" w:rsidP="00BB1376">
            <w:pPr>
              <w:pStyle w:val="a3"/>
              <w:jc w:val="both"/>
              <w:rPr>
                <w:color w:val="626262"/>
                <w:sz w:val="20"/>
                <w:szCs w:val="20"/>
              </w:rPr>
            </w:pPr>
            <w:r>
              <w:rPr>
                <w:color w:val="626262"/>
                <w:sz w:val="20"/>
                <w:szCs w:val="20"/>
              </w:rPr>
              <w:t>35           Если переданный актив измеряется по амортизированной стоимости, то возможность, предусмотренная настоящим стандартом, классифицировать финансовое обязательство как учтенное по справедливой стоимости через прибыль или убыток, не применима к связанному обязательству.</w:t>
            </w:r>
          </w:p>
          <w:p w:rsidR="00BB1376" w:rsidRDefault="00BB1376" w:rsidP="00BB1376">
            <w:pPr>
              <w:pStyle w:val="a3"/>
              <w:jc w:val="both"/>
              <w:rPr>
                <w:color w:val="626262"/>
                <w:sz w:val="20"/>
                <w:szCs w:val="20"/>
              </w:rPr>
            </w:pPr>
            <w:r>
              <w:rPr>
                <w:color w:val="626262"/>
                <w:sz w:val="20"/>
                <w:szCs w:val="20"/>
              </w:rPr>
              <w:t>Все передачи</w:t>
            </w:r>
          </w:p>
          <w:p w:rsidR="00BB1376" w:rsidRDefault="00BB1376" w:rsidP="00BB1376">
            <w:pPr>
              <w:pStyle w:val="a3"/>
              <w:jc w:val="both"/>
              <w:rPr>
                <w:color w:val="626262"/>
                <w:sz w:val="20"/>
                <w:szCs w:val="20"/>
              </w:rPr>
            </w:pPr>
            <w:r>
              <w:rPr>
                <w:color w:val="626262"/>
                <w:sz w:val="20"/>
                <w:szCs w:val="20"/>
              </w:rPr>
              <w:t>36           Если продолжается признание переданного актива, то актив и связанное обязательство не должны взаимозачитываться. Аналогично, предприятие не должно взаимозачитывать доходы, возникающие от переданного актива, с расходами, понесенными по связанному обязательству (см. МСФО (IAS) 32 параграф 42).</w:t>
            </w:r>
          </w:p>
          <w:p w:rsidR="00BB1376" w:rsidRDefault="00BB1376" w:rsidP="00BB1376">
            <w:pPr>
              <w:pStyle w:val="a3"/>
              <w:jc w:val="both"/>
              <w:rPr>
                <w:color w:val="626262"/>
                <w:sz w:val="20"/>
                <w:szCs w:val="20"/>
              </w:rPr>
            </w:pPr>
            <w:r>
              <w:rPr>
                <w:color w:val="626262"/>
                <w:sz w:val="20"/>
                <w:szCs w:val="20"/>
              </w:rPr>
              <w:t>37           Если передающая сторона предоставляет неденежное обеспечение (такое, как долговой или долевой инструмент) принимающей стороне, то учет этого обеспечения передающей и получающей сторонами зависит от того, имеет ли получающая сторона право продать или перезаложить это обеспечение, и от того, выполнила передающая сторона свои обязательства или нет. Передающая и принимающая стороны должны учитывать такое обеспечение следующим образом:</w:t>
            </w:r>
          </w:p>
          <w:p w:rsidR="00BB1376" w:rsidRDefault="00BB1376" w:rsidP="00BB1376">
            <w:pPr>
              <w:pStyle w:val="a3"/>
              <w:jc w:val="both"/>
              <w:rPr>
                <w:color w:val="626262"/>
                <w:sz w:val="20"/>
                <w:szCs w:val="20"/>
              </w:rPr>
            </w:pPr>
            <w:r>
              <w:rPr>
                <w:color w:val="626262"/>
                <w:sz w:val="20"/>
                <w:szCs w:val="20"/>
              </w:rPr>
              <w:t>(а)           если получающая сторона имеет право, согласно договору или общепринятой практике, продать или перезаложить это обеспечение, то передающая сторона должна переклассифицировать такой актив в своем балансе (например, в качестве заемного актива, отданного в залог долевого инструмента или дебиторской задолженности по обратной покупке) отдельно от других активов;</w:t>
            </w:r>
          </w:p>
          <w:p w:rsidR="00BB1376" w:rsidRDefault="00BB1376" w:rsidP="00BB1376">
            <w:pPr>
              <w:pStyle w:val="a3"/>
              <w:jc w:val="both"/>
              <w:rPr>
                <w:color w:val="626262"/>
                <w:sz w:val="20"/>
                <w:szCs w:val="20"/>
              </w:rPr>
            </w:pPr>
            <w:r>
              <w:rPr>
                <w:color w:val="626262"/>
                <w:sz w:val="20"/>
                <w:szCs w:val="20"/>
              </w:rPr>
              <w:t>(b)           если принимающая сторона продает обеспечение, переданное ей в залог, то она должна признавать поступления от продажи и обязательство, измеренное по справедливой стоимости, вернуть это обеспечение;</w:t>
            </w:r>
          </w:p>
          <w:p w:rsidR="00BB1376" w:rsidRDefault="00BB1376" w:rsidP="00BB1376">
            <w:pPr>
              <w:pStyle w:val="a3"/>
              <w:jc w:val="both"/>
              <w:rPr>
                <w:color w:val="626262"/>
                <w:sz w:val="20"/>
                <w:szCs w:val="20"/>
              </w:rPr>
            </w:pPr>
            <w:r>
              <w:rPr>
                <w:color w:val="626262"/>
                <w:sz w:val="20"/>
                <w:szCs w:val="20"/>
              </w:rPr>
              <w:t>(c)           если передающая сторона не выполняет условия договора и не имеет права получить обратно такое обеспечение, то она должна прекратить признание этого обеспечения, а принимающая сторона должна признать это обеспечение в качестве своего актива, первоначально измеренного по справедливой стоимости, или, если она уже продала это обеспечение, то прекратить признание своего обязательства по возврату этого обеспечения;</w:t>
            </w:r>
          </w:p>
          <w:p w:rsidR="00BB1376" w:rsidRDefault="00BB1376" w:rsidP="00BB1376">
            <w:pPr>
              <w:pStyle w:val="a3"/>
              <w:jc w:val="both"/>
              <w:rPr>
                <w:color w:val="626262"/>
                <w:sz w:val="20"/>
                <w:szCs w:val="20"/>
              </w:rPr>
            </w:pPr>
            <w:r>
              <w:rPr>
                <w:color w:val="626262"/>
                <w:sz w:val="20"/>
                <w:szCs w:val="20"/>
              </w:rPr>
              <w:t>(d)           за исключением случаев, предусмотренных в пункте (с), передающая сторона должна продолжать учитывать это обеспечение как свой актив, а принимающая сторона не должна учитывать это обеспечение как актив.</w:t>
            </w:r>
          </w:p>
          <w:p w:rsidR="00BB1376" w:rsidRDefault="00BB1376" w:rsidP="00BB1376">
            <w:pPr>
              <w:pStyle w:val="a3"/>
              <w:jc w:val="both"/>
              <w:rPr>
                <w:color w:val="626262"/>
                <w:sz w:val="20"/>
                <w:szCs w:val="20"/>
              </w:rPr>
            </w:pPr>
            <w:r>
              <w:rPr>
                <w:color w:val="626262"/>
                <w:sz w:val="20"/>
                <w:szCs w:val="20"/>
              </w:rPr>
              <w:t>Стандартная процедура покупки или продажи финансового актива</w:t>
            </w:r>
          </w:p>
          <w:p w:rsidR="00BB1376" w:rsidRDefault="00BB1376" w:rsidP="00BB1376">
            <w:pPr>
              <w:pStyle w:val="a3"/>
              <w:jc w:val="both"/>
              <w:rPr>
                <w:color w:val="626262"/>
                <w:sz w:val="20"/>
                <w:szCs w:val="20"/>
              </w:rPr>
            </w:pPr>
            <w:r>
              <w:rPr>
                <w:color w:val="626262"/>
                <w:sz w:val="20"/>
                <w:szCs w:val="20"/>
              </w:rPr>
              <w:t>38           Признание стандартной процедуры покупки или продажи финансового актива или прекращение признания, если применимо, должно осуществляться с использованием учета по дате заключения сделки или учета по дате расчетов (см. параграфы AG53-AG56 приложения А).</w:t>
            </w:r>
          </w:p>
          <w:p w:rsidR="00BB1376" w:rsidRDefault="00BB1376" w:rsidP="00BB1376">
            <w:pPr>
              <w:pStyle w:val="a3"/>
              <w:jc w:val="both"/>
              <w:rPr>
                <w:color w:val="626262"/>
                <w:sz w:val="20"/>
                <w:szCs w:val="20"/>
              </w:rPr>
            </w:pPr>
            <w:r>
              <w:rPr>
                <w:color w:val="626262"/>
                <w:sz w:val="20"/>
                <w:szCs w:val="20"/>
              </w:rPr>
              <w:lastRenderedPageBreak/>
              <w:t>Прекращение признания финансового обязательства</w:t>
            </w:r>
          </w:p>
          <w:p w:rsidR="00BB1376" w:rsidRDefault="00BB1376" w:rsidP="00BB1376">
            <w:pPr>
              <w:pStyle w:val="a3"/>
              <w:jc w:val="both"/>
              <w:rPr>
                <w:color w:val="626262"/>
                <w:sz w:val="20"/>
                <w:szCs w:val="20"/>
              </w:rPr>
            </w:pPr>
            <w:r>
              <w:rPr>
                <w:color w:val="626262"/>
                <w:sz w:val="20"/>
                <w:szCs w:val="20"/>
              </w:rPr>
              <w:t>39           Предприятие исключает финансовое обязательство (или часть финансового обязательства) из баланса, только когда оно погашено, то есть когда указанное в договоре обязательство исполнено, или аннулировано, или срок его действия истек.</w:t>
            </w:r>
          </w:p>
          <w:p w:rsidR="00BB1376" w:rsidRDefault="00BB1376" w:rsidP="00BB1376">
            <w:pPr>
              <w:pStyle w:val="a3"/>
              <w:jc w:val="both"/>
              <w:rPr>
                <w:color w:val="626262"/>
                <w:sz w:val="20"/>
                <w:szCs w:val="20"/>
              </w:rPr>
            </w:pPr>
            <w:r>
              <w:rPr>
                <w:color w:val="626262"/>
                <w:sz w:val="20"/>
                <w:szCs w:val="20"/>
              </w:rPr>
              <w:t>40           Обмен между существующими заемщиком и кредитором долговыми инструментами с существенно различающимися условиями должен учитываться как погашение первоначального финансового обязательства и признание нового финансового обязательства. Аналогично, значительное изменение условий существующего финансового обязательства или его части (независимо от того, связано это изменение с финансовыми трудностями должника или нет) следует учитывать как погашение первоначального финансового обязательства и признание нового финансового обязательства.</w:t>
            </w:r>
          </w:p>
          <w:p w:rsidR="00BB1376" w:rsidRDefault="00BB1376" w:rsidP="00BB1376">
            <w:pPr>
              <w:pStyle w:val="a3"/>
              <w:jc w:val="both"/>
              <w:rPr>
                <w:color w:val="626262"/>
                <w:sz w:val="20"/>
                <w:szCs w:val="20"/>
              </w:rPr>
            </w:pPr>
            <w:r>
              <w:rPr>
                <w:color w:val="626262"/>
                <w:sz w:val="20"/>
                <w:szCs w:val="20"/>
              </w:rPr>
              <w:t>41           Разница между балансовой стоимостью погашенного или переданного другой стороне финансового обязательства (или части финансового обязательства) и выплаченным возмещением, включая любые переданные неденежные активы или принятые обязательства, должна быть признана в составе прибыли или убытка.</w:t>
            </w:r>
          </w:p>
          <w:p w:rsidR="00BB1376" w:rsidRDefault="00BB1376" w:rsidP="00BB1376">
            <w:pPr>
              <w:pStyle w:val="a3"/>
              <w:jc w:val="both"/>
              <w:rPr>
                <w:color w:val="626262"/>
                <w:sz w:val="20"/>
                <w:szCs w:val="20"/>
              </w:rPr>
            </w:pPr>
            <w:r>
              <w:rPr>
                <w:color w:val="626262"/>
                <w:sz w:val="20"/>
                <w:szCs w:val="20"/>
              </w:rPr>
              <w:t>42           Если предприятие выкупает часть своего финансового обязательства, оно должно распределить предыдущую балансовую стоимость финансового обязательства между частью, признание которой продолжается, и частью, признание которой прекращено, основываясь на относительной справедливой стоимости этих частей на дату выкупа. Разница между (a) балансовой стоимостью, распределенной на часть, признание которой прекращено, и (b) выплаченным возмещением за часть, признание которой прекращено, включая переданные неденежные активы или принятые обязательства, должна быть признана в составе прибыли или убытка.</w:t>
            </w:r>
          </w:p>
          <w:p w:rsidR="00BB1376" w:rsidRDefault="00BB1376" w:rsidP="00BB1376">
            <w:pPr>
              <w:pStyle w:val="a3"/>
              <w:jc w:val="both"/>
              <w:rPr>
                <w:color w:val="626262"/>
                <w:sz w:val="20"/>
                <w:szCs w:val="20"/>
              </w:rPr>
            </w:pPr>
            <w:r>
              <w:rPr>
                <w:color w:val="626262"/>
                <w:sz w:val="20"/>
                <w:szCs w:val="20"/>
              </w:rPr>
              <w:t>Измерение</w:t>
            </w:r>
          </w:p>
          <w:p w:rsidR="00BB1376" w:rsidRDefault="00BB1376" w:rsidP="00BB1376">
            <w:pPr>
              <w:pStyle w:val="a3"/>
              <w:jc w:val="both"/>
              <w:rPr>
                <w:color w:val="626262"/>
                <w:sz w:val="20"/>
                <w:szCs w:val="20"/>
              </w:rPr>
            </w:pPr>
            <w:r>
              <w:rPr>
                <w:color w:val="626262"/>
                <w:sz w:val="20"/>
                <w:szCs w:val="20"/>
              </w:rPr>
              <w:t>Первоначальное измерение финансовых активов и финансовых обязательств</w:t>
            </w:r>
          </w:p>
          <w:p w:rsidR="00BB1376" w:rsidRDefault="00BB1376" w:rsidP="00BB1376">
            <w:pPr>
              <w:pStyle w:val="a3"/>
              <w:jc w:val="both"/>
              <w:rPr>
                <w:color w:val="626262"/>
                <w:sz w:val="20"/>
                <w:szCs w:val="20"/>
              </w:rPr>
            </w:pPr>
            <w:r>
              <w:rPr>
                <w:color w:val="626262"/>
                <w:sz w:val="20"/>
                <w:szCs w:val="20"/>
              </w:rPr>
              <w:t>43           При первоначальном признании финансового актива или финансового обязательства, предприятие измеряет такой финансовый актив или финансовое обязательство по справедливой стоимости плюс, в случае финансового актива или финансового обязательства, не учитываемых по справедливой стоимости через прибыль или убыток, затраты по сделке, которые напрямую связаны с приобретением или выпуском такого финансового актива или финансового обязательства.</w:t>
            </w:r>
          </w:p>
          <w:p w:rsidR="00BB1376" w:rsidRDefault="00BB1376" w:rsidP="00BB1376">
            <w:pPr>
              <w:pStyle w:val="a3"/>
              <w:jc w:val="both"/>
              <w:rPr>
                <w:color w:val="626262"/>
                <w:sz w:val="20"/>
                <w:szCs w:val="20"/>
              </w:rPr>
            </w:pPr>
            <w:r>
              <w:rPr>
                <w:color w:val="626262"/>
                <w:sz w:val="20"/>
                <w:szCs w:val="20"/>
              </w:rPr>
              <w:t>44           При использовании предприятием учета по дате расчетов для актива, который впоследствии измеряется по себестоимости или амортизируемой стоимости, такой актив первоначально признается по справедливой стоимости на дату заключения сделки (см. параграфы AG53-AG56 приложения А).</w:t>
            </w:r>
          </w:p>
          <w:p w:rsidR="00BB1376" w:rsidRDefault="00BB1376" w:rsidP="00BB1376">
            <w:pPr>
              <w:pStyle w:val="a3"/>
              <w:jc w:val="both"/>
              <w:rPr>
                <w:color w:val="626262"/>
                <w:sz w:val="20"/>
                <w:szCs w:val="20"/>
              </w:rPr>
            </w:pPr>
            <w:r>
              <w:rPr>
                <w:color w:val="626262"/>
                <w:sz w:val="20"/>
                <w:szCs w:val="20"/>
              </w:rPr>
              <w:t>Последующее измерение финансовых активов</w:t>
            </w:r>
          </w:p>
          <w:p w:rsidR="00BB1376" w:rsidRDefault="00BB1376" w:rsidP="00BB1376">
            <w:pPr>
              <w:pStyle w:val="a3"/>
              <w:jc w:val="both"/>
              <w:rPr>
                <w:color w:val="626262"/>
                <w:sz w:val="20"/>
                <w:szCs w:val="20"/>
              </w:rPr>
            </w:pPr>
            <w:r>
              <w:rPr>
                <w:color w:val="626262"/>
                <w:sz w:val="20"/>
                <w:szCs w:val="20"/>
              </w:rPr>
              <w:t>45           В целях измерения финансового актива после первоначального признания финансовые активы в настоящем стандарте классифицируются по следующим четырем категориям, определенным в параграфе 9:</w:t>
            </w:r>
          </w:p>
          <w:p w:rsidR="00BB1376" w:rsidRDefault="00BB1376" w:rsidP="00BB1376">
            <w:pPr>
              <w:pStyle w:val="a3"/>
              <w:jc w:val="both"/>
              <w:rPr>
                <w:color w:val="626262"/>
                <w:sz w:val="20"/>
                <w:szCs w:val="20"/>
              </w:rPr>
            </w:pPr>
            <w:r>
              <w:rPr>
                <w:color w:val="626262"/>
                <w:sz w:val="20"/>
                <w:szCs w:val="20"/>
              </w:rPr>
              <w:t>(а)           финансовые активы, учтенные по справедливой стоимости через прибыль или убыток;</w:t>
            </w:r>
          </w:p>
          <w:p w:rsidR="00BB1376" w:rsidRDefault="00BB1376" w:rsidP="00BB1376">
            <w:pPr>
              <w:pStyle w:val="a3"/>
              <w:jc w:val="both"/>
              <w:rPr>
                <w:color w:val="626262"/>
                <w:sz w:val="20"/>
                <w:szCs w:val="20"/>
              </w:rPr>
            </w:pPr>
            <w:r>
              <w:rPr>
                <w:color w:val="626262"/>
                <w:sz w:val="20"/>
                <w:szCs w:val="20"/>
              </w:rPr>
              <w:t>(b)           инвестиции, удерживаемые до погашения;</w:t>
            </w:r>
          </w:p>
          <w:p w:rsidR="00BB1376" w:rsidRDefault="00BB1376" w:rsidP="00BB1376">
            <w:pPr>
              <w:pStyle w:val="a3"/>
              <w:jc w:val="both"/>
              <w:rPr>
                <w:color w:val="626262"/>
                <w:sz w:val="20"/>
                <w:szCs w:val="20"/>
              </w:rPr>
            </w:pPr>
            <w:r>
              <w:rPr>
                <w:color w:val="626262"/>
                <w:sz w:val="20"/>
                <w:szCs w:val="20"/>
              </w:rPr>
              <w:t>(c)           займы и дебиторская задолженность; и</w:t>
            </w:r>
          </w:p>
          <w:p w:rsidR="00BB1376" w:rsidRDefault="00BB1376" w:rsidP="00BB1376">
            <w:pPr>
              <w:pStyle w:val="a3"/>
              <w:jc w:val="both"/>
              <w:rPr>
                <w:color w:val="626262"/>
                <w:sz w:val="20"/>
                <w:szCs w:val="20"/>
              </w:rPr>
            </w:pPr>
            <w:r>
              <w:rPr>
                <w:color w:val="626262"/>
                <w:sz w:val="20"/>
                <w:szCs w:val="20"/>
              </w:rPr>
              <w:t>(d)           финансовые активы, имеющиеся в наличии для продажи.</w:t>
            </w:r>
          </w:p>
          <w:p w:rsidR="00BB1376" w:rsidRDefault="00BB1376" w:rsidP="00BB1376">
            <w:pPr>
              <w:pStyle w:val="a3"/>
              <w:jc w:val="both"/>
              <w:rPr>
                <w:color w:val="626262"/>
                <w:sz w:val="20"/>
                <w:szCs w:val="20"/>
              </w:rPr>
            </w:pPr>
            <w:r>
              <w:rPr>
                <w:color w:val="626262"/>
                <w:sz w:val="20"/>
                <w:szCs w:val="20"/>
              </w:rPr>
              <w:t>Эти категории применяются для измерения и признания прибыли или убытка согласно настоящему стандарту. Предприятие может использовать другие описания для этих категорий или другие деления на категории при представлении информации в самой финансовой отчетности. Предприятие должно раскрывать в примечаниях информацию, требуемую МСФО (IFRS) 7.</w:t>
            </w:r>
          </w:p>
          <w:p w:rsidR="00BB1376" w:rsidRDefault="00BB1376" w:rsidP="00BB1376">
            <w:pPr>
              <w:pStyle w:val="a3"/>
              <w:jc w:val="both"/>
              <w:rPr>
                <w:color w:val="626262"/>
                <w:sz w:val="20"/>
                <w:szCs w:val="20"/>
              </w:rPr>
            </w:pPr>
            <w:r>
              <w:rPr>
                <w:color w:val="626262"/>
                <w:sz w:val="20"/>
                <w:szCs w:val="20"/>
              </w:rPr>
              <w:t xml:space="preserve">46           После первоначального признания предприятию следует измерять финансовые активы, в том числе </w:t>
            </w:r>
            <w:r>
              <w:rPr>
                <w:color w:val="626262"/>
                <w:sz w:val="20"/>
                <w:szCs w:val="20"/>
              </w:rPr>
              <w:lastRenderedPageBreak/>
              <w:t>производные инструменты, являющиеся активами, по справедливой стоимости без вычета затрат по сделке, которые могут быть понесены при продаже или другом выбытии, за исключением следующих финансовых активов:</w:t>
            </w:r>
          </w:p>
          <w:p w:rsidR="00BB1376" w:rsidRDefault="00BB1376" w:rsidP="00BB1376">
            <w:pPr>
              <w:pStyle w:val="a3"/>
              <w:jc w:val="both"/>
              <w:rPr>
                <w:color w:val="626262"/>
                <w:sz w:val="20"/>
                <w:szCs w:val="20"/>
              </w:rPr>
            </w:pPr>
            <w:r>
              <w:rPr>
                <w:color w:val="626262"/>
                <w:sz w:val="20"/>
                <w:szCs w:val="20"/>
              </w:rPr>
              <w:t>(а)           займов и дебиторской задолженности, определенных в параграфе 9, которые должны измеряться по амортизированной стоимости с использованием метода эффективной ставки процента;</w:t>
            </w:r>
          </w:p>
          <w:p w:rsidR="00BB1376" w:rsidRDefault="00BB1376" w:rsidP="00BB1376">
            <w:pPr>
              <w:pStyle w:val="a3"/>
              <w:jc w:val="both"/>
              <w:rPr>
                <w:color w:val="626262"/>
                <w:sz w:val="20"/>
                <w:szCs w:val="20"/>
              </w:rPr>
            </w:pPr>
            <w:r>
              <w:rPr>
                <w:color w:val="626262"/>
                <w:sz w:val="20"/>
                <w:szCs w:val="20"/>
              </w:rPr>
              <w:t>(b)           инвестиций, удерживаемых до погашения, определенных в параграфе 9, которые должны измеряться по амортизированной стоимости с использованием метода эффективной ставки процента; и</w:t>
            </w:r>
          </w:p>
          <w:p w:rsidR="00BB1376" w:rsidRDefault="00BB1376" w:rsidP="00BB1376">
            <w:pPr>
              <w:pStyle w:val="a3"/>
              <w:jc w:val="both"/>
              <w:rPr>
                <w:color w:val="626262"/>
                <w:sz w:val="20"/>
                <w:szCs w:val="20"/>
              </w:rPr>
            </w:pPr>
            <w:r>
              <w:rPr>
                <w:color w:val="626262"/>
                <w:sz w:val="20"/>
                <w:szCs w:val="20"/>
              </w:rPr>
              <w:t>(c)           инвестиций в долевые инструменты, которые не имеют рыночных котировок на активном рынке и справедливая стоимость которых не может быть надежно измерена, а также производных инструментов, связанных с такими некотируемыми долевыми инструментами, расчеты по которым должны быть осуществлены путем поставки этих активов.</w:t>
            </w:r>
          </w:p>
          <w:p w:rsidR="00BB1376" w:rsidRDefault="00BB1376" w:rsidP="00BB1376">
            <w:pPr>
              <w:pStyle w:val="a3"/>
              <w:jc w:val="both"/>
              <w:rPr>
                <w:color w:val="626262"/>
                <w:sz w:val="20"/>
                <w:szCs w:val="20"/>
              </w:rPr>
            </w:pPr>
            <w:r>
              <w:rPr>
                <w:color w:val="626262"/>
                <w:sz w:val="20"/>
                <w:szCs w:val="20"/>
              </w:rPr>
              <w:t>Финансовые активы, определенные в качестве хеджируемых статей, подлежат измерению согласно требованиям учета хеджирования, изложенным в параграфах 89-102. Все финансовые активы, кроме учтенных по справедливой стоимости через прибыль или убыток, подлежат проверке на обесценение в соответствии с параграфами 58-70 и параграфами AG84-AG93 приложения А.</w:t>
            </w:r>
          </w:p>
          <w:p w:rsidR="00BB1376" w:rsidRDefault="00BB1376" w:rsidP="00BB1376">
            <w:pPr>
              <w:pStyle w:val="a3"/>
              <w:jc w:val="both"/>
              <w:rPr>
                <w:color w:val="626262"/>
                <w:sz w:val="20"/>
                <w:szCs w:val="20"/>
              </w:rPr>
            </w:pPr>
            <w:r>
              <w:rPr>
                <w:color w:val="626262"/>
                <w:sz w:val="20"/>
                <w:szCs w:val="20"/>
              </w:rPr>
              <w:t>Последующее измерение финансовых обязательств</w:t>
            </w:r>
          </w:p>
          <w:p w:rsidR="00BB1376" w:rsidRDefault="00BB1376" w:rsidP="00BB1376">
            <w:pPr>
              <w:pStyle w:val="a3"/>
              <w:jc w:val="both"/>
              <w:rPr>
                <w:color w:val="626262"/>
                <w:sz w:val="20"/>
                <w:szCs w:val="20"/>
              </w:rPr>
            </w:pPr>
            <w:r>
              <w:rPr>
                <w:color w:val="626262"/>
                <w:sz w:val="20"/>
                <w:szCs w:val="20"/>
              </w:rPr>
              <w:t>47           После первоначального признания предприятие должно измерять все финансовые обязательства по амортизированной стоимости с использованием метода эффективной ставки процента, за исключением:</w:t>
            </w:r>
          </w:p>
          <w:p w:rsidR="00BB1376" w:rsidRDefault="00BB1376" w:rsidP="00BB1376">
            <w:pPr>
              <w:pStyle w:val="a3"/>
              <w:jc w:val="both"/>
              <w:rPr>
                <w:color w:val="626262"/>
                <w:sz w:val="20"/>
                <w:szCs w:val="20"/>
              </w:rPr>
            </w:pPr>
            <w:r>
              <w:rPr>
                <w:color w:val="626262"/>
                <w:sz w:val="20"/>
                <w:szCs w:val="20"/>
              </w:rPr>
              <w:t>(а)           финансовых обязательств, учтенных по справедливой стоимости через прибыль или убыток. Такие обязательства, включая производные инструменты, являющиеся обязательствами, должны измеряться по справедливой стоимости, за исключением обязательств по производным инструментам, которые связаны с некотируемыми долевыми инструментами (справедливую стоимость которых нельзя надежно измерить, и которые должны быть измерены по фактическим затратам) и расчет по которым должен быть осуществлен путем такой поставки;</w:t>
            </w:r>
          </w:p>
          <w:p w:rsidR="00BB1376" w:rsidRDefault="00BB1376" w:rsidP="00BB1376">
            <w:pPr>
              <w:pStyle w:val="a3"/>
              <w:jc w:val="both"/>
              <w:rPr>
                <w:color w:val="626262"/>
                <w:sz w:val="20"/>
                <w:szCs w:val="20"/>
              </w:rPr>
            </w:pPr>
            <w:r>
              <w:rPr>
                <w:color w:val="626262"/>
                <w:sz w:val="20"/>
                <w:szCs w:val="20"/>
              </w:rPr>
              <w:t>(b)           финансовые обязательства, возникающие, когда передача финансового актива не удовлетворяет критериям для прекращения признания или когда применяется подход продолжающегося участия. Измерение таких финансовых обязательств производится в соответствии с пунктами 29 и 31.</w:t>
            </w:r>
          </w:p>
          <w:p w:rsidR="00BB1376" w:rsidRDefault="00BB1376" w:rsidP="00BB1376">
            <w:pPr>
              <w:pStyle w:val="a3"/>
              <w:jc w:val="both"/>
              <w:rPr>
                <w:color w:val="626262"/>
                <w:sz w:val="20"/>
                <w:szCs w:val="20"/>
              </w:rPr>
            </w:pPr>
            <w:r>
              <w:rPr>
                <w:color w:val="626262"/>
                <w:sz w:val="20"/>
                <w:szCs w:val="20"/>
              </w:rPr>
              <w:t>(c)           договоры финансовой гарантии в соответствии с определением, содержащимся в пункте 9. После первоначального признания эмитент такого инструмента должен (за исключением случаев, когда применяется пункт 47(a) или (b)) измерять его по наибольшему из следующих значений:</w:t>
            </w:r>
          </w:p>
          <w:p w:rsidR="00BB1376" w:rsidRDefault="00BB1376" w:rsidP="00BB1376">
            <w:pPr>
              <w:pStyle w:val="a3"/>
              <w:jc w:val="both"/>
              <w:rPr>
                <w:color w:val="626262"/>
                <w:sz w:val="20"/>
                <w:szCs w:val="20"/>
              </w:rPr>
            </w:pPr>
            <w:r>
              <w:rPr>
                <w:color w:val="626262"/>
                <w:sz w:val="20"/>
                <w:szCs w:val="20"/>
              </w:rPr>
              <w:t>(i)            суммы, определенной в соответствии с МСФО (IAS) 37</w:t>
            </w:r>
            <w:r>
              <w:rPr>
                <w:rStyle w:val="apple-converted-space"/>
                <w:color w:val="626262"/>
                <w:sz w:val="20"/>
                <w:szCs w:val="20"/>
              </w:rPr>
              <w:t> </w:t>
            </w:r>
            <w:r>
              <w:rPr>
                <w:rStyle w:val="a5"/>
                <w:color w:val="626262"/>
                <w:sz w:val="20"/>
                <w:szCs w:val="20"/>
              </w:rPr>
              <w:t>«Оценочные обязательства, условные обязательства и условные активы»</w:t>
            </w:r>
            <w:r>
              <w:rPr>
                <w:color w:val="626262"/>
                <w:sz w:val="20"/>
                <w:szCs w:val="20"/>
              </w:rPr>
              <w:t>; и</w:t>
            </w:r>
          </w:p>
          <w:p w:rsidR="00BB1376" w:rsidRDefault="00BB1376" w:rsidP="00BB1376">
            <w:pPr>
              <w:pStyle w:val="a3"/>
              <w:jc w:val="both"/>
              <w:rPr>
                <w:color w:val="626262"/>
                <w:sz w:val="20"/>
                <w:szCs w:val="20"/>
              </w:rPr>
            </w:pPr>
            <w:r>
              <w:rPr>
                <w:color w:val="626262"/>
                <w:sz w:val="20"/>
                <w:szCs w:val="20"/>
              </w:rPr>
              <w:t>(ii)           первоначально признанной суммы (см. пункт 43) за вычетом, если это уместно, накопленной амортизации, признанной в соответствии с МСФО (IAS) 18</w:t>
            </w:r>
            <w:r>
              <w:rPr>
                <w:rStyle w:val="apple-converted-space"/>
                <w:color w:val="626262"/>
                <w:sz w:val="20"/>
                <w:szCs w:val="20"/>
              </w:rPr>
              <w:t> </w:t>
            </w:r>
            <w:r>
              <w:rPr>
                <w:rStyle w:val="a5"/>
                <w:color w:val="626262"/>
                <w:sz w:val="20"/>
                <w:szCs w:val="20"/>
              </w:rPr>
              <w:t>«Выручка»</w:t>
            </w:r>
            <w:r>
              <w:rPr>
                <w:color w:val="626262"/>
                <w:sz w:val="20"/>
                <w:szCs w:val="20"/>
              </w:rPr>
              <w:t>.</w:t>
            </w:r>
          </w:p>
          <w:p w:rsidR="00BB1376" w:rsidRDefault="00BB1376" w:rsidP="00BB1376">
            <w:pPr>
              <w:pStyle w:val="a3"/>
              <w:jc w:val="both"/>
              <w:rPr>
                <w:color w:val="626262"/>
                <w:sz w:val="20"/>
                <w:szCs w:val="20"/>
              </w:rPr>
            </w:pPr>
            <w:r>
              <w:rPr>
                <w:color w:val="626262"/>
                <w:sz w:val="20"/>
                <w:szCs w:val="20"/>
              </w:rPr>
              <w:t>(d)           обязательства по предоставлению займа по процентной ставке ниже рыночной. После первоначального признания эмитент такого обязательства должен (за исключением случаев, когда применяется пункт 47(a)) измерять его по наибольшему из следующих значений:</w:t>
            </w:r>
          </w:p>
          <w:p w:rsidR="00BB1376" w:rsidRDefault="00BB1376" w:rsidP="00BB1376">
            <w:pPr>
              <w:pStyle w:val="a3"/>
              <w:jc w:val="both"/>
              <w:rPr>
                <w:color w:val="626262"/>
                <w:sz w:val="20"/>
                <w:szCs w:val="20"/>
              </w:rPr>
            </w:pPr>
            <w:r>
              <w:rPr>
                <w:color w:val="626262"/>
                <w:sz w:val="20"/>
                <w:szCs w:val="20"/>
              </w:rPr>
              <w:t>(i)            сумма, определенная в соответствии с МСФО (IAS) 37; и</w:t>
            </w:r>
          </w:p>
          <w:p w:rsidR="00BB1376" w:rsidRDefault="00BB1376" w:rsidP="00BB1376">
            <w:pPr>
              <w:pStyle w:val="a3"/>
              <w:jc w:val="both"/>
              <w:rPr>
                <w:color w:val="626262"/>
                <w:sz w:val="20"/>
                <w:szCs w:val="20"/>
              </w:rPr>
            </w:pPr>
            <w:r>
              <w:rPr>
                <w:color w:val="626262"/>
                <w:sz w:val="20"/>
                <w:szCs w:val="20"/>
              </w:rPr>
              <w:t>(ii)           первоначально признанной суммы (см. пункт 43) за вычетом, если это уместно, накопленной амортизации, признанной в соответствии с МСФО (IAS) 18.</w:t>
            </w:r>
          </w:p>
          <w:p w:rsidR="00BB1376" w:rsidRDefault="00BB1376" w:rsidP="00BB1376">
            <w:pPr>
              <w:pStyle w:val="a3"/>
              <w:jc w:val="both"/>
              <w:rPr>
                <w:color w:val="626262"/>
                <w:sz w:val="20"/>
                <w:szCs w:val="20"/>
              </w:rPr>
            </w:pPr>
            <w:r>
              <w:rPr>
                <w:color w:val="626262"/>
                <w:sz w:val="20"/>
                <w:szCs w:val="20"/>
              </w:rPr>
              <w:t>Финансовые обязательства, определенные в качестве хеджируемых статей, подлежат измерению в соответствии с требованиями учета хеджирования, изложенными в параграфах 89-102.</w:t>
            </w:r>
          </w:p>
          <w:p w:rsidR="00BB1376" w:rsidRDefault="00BB1376" w:rsidP="00BB1376">
            <w:pPr>
              <w:pStyle w:val="a3"/>
              <w:jc w:val="both"/>
              <w:rPr>
                <w:color w:val="626262"/>
                <w:sz w:val="20"/>
                <w:szCs w:val="20"/>
              </w:rPr>
            </w:pPr>
            <w:r>
              <w:rPr>
                <w:color w:val="626262"/>
                <w:sz w:val="20"/>
                <w:szCs w:val="20"/>
              </w:rPr>
              <w:lastRenderedPageBreak/>
              <w:t>Вопросы измерения по справедливой стоимости</w:t>
            </w:r>
          </w:p>
          <w:p w:rsidR="00BB1376" w:rsidRDefault="00BB1376" w:rsidP="00BB1376">
            <w:pPr>
              <w:pStyle w:val="a3"/>
              <w:jc w:val="both"/>
              <w:rPr>
                <w:color w:val="626262"/>
                <w:sz w:val="20"/>
                <w:szCs w:val="20"/>
              </w:rPr>
            </w:pPr>
            <w:r>
              <w:rPr>
                <w:color w:val="626262"/>
                <w:sz w:val="20"/>
                <w:szCs w:val="20"/>
              </w:rPr>
              <w:t>48           При определении справедливой стоимости финансового актива или финансового обязательства в целях применения настоящего стандарта, МСФО (IAS) 32 или МСФО (IFRS) 7 предприятие должно применять пункты AG69-AG82 приложения A.</w:t>
            </w:r>
          </w:p>
          <w:p w:rsidR="00BB1376" w:rsidRDefault="00BB1376" w:rsidP="00BB1376">
            <w:pPr>
              <w:pStyle w:val="a3"/>
              <w:jc w:val="both"/>
              <w:rPr>
                <w:color w:val="626262"/>
                <w:sz w:val="20"/>
                <w:szCs w:val="20"/>
              </w:rPr>
            </w:pPr>
            <w:r>
              <w:rPr>
                <w:color w:val="626262"/>
                <w:sz w:val="20"/>
                <w:szCs w:val="20"/>
              </w:rPr>
              <w:t>48A        Наилучшим подтверждением справедливой стоимости являются котируемые цены на активном рынке. Если рынок финансового инструмента не является активным, то предприятие устанавливает справедливую стоимость, используя метод оценки. Цель применения метода оценки состоит в том, чтобы определить, какой была бы цена операции на дату измерения при совершении мотивированного нормальными деловыми соображениями обмена между независимыми сторонами. Приемы оценки включают использование информации о недавних рыночных операциях между независимыми, хорошо осведомленными, желающими совершить такие операции сторонами, при наличии таковой, сопоставление с текущей справедливой стоимостью другого, практически идентичного инструмента, анализ дисконтированных денежных потоков и моделей оценки опциона. Если существует метод оценки, широко используемый участниками рынка для определения цены инструмента, и было продемонстрировано, что этот метод обеспечивает надежные расчетные оценки цен, полученных на основе фактических рыночных операций, то предприятие использует этот метод. Выбранный метод оценки должен максимально использовать рыночные исходные данные и как можно меньше опираться на исходные данные, характерные для предприятия. Метод оценки включает все факторы, которые учитывались бы участниками рынка при установлении цены, и соответствует общепринятой экономической методологии ценообразования финансовых инструментов. Предприятие периодически выверяет метод оценки и проверяет его правильность, используя информацию о ценах в наблюдаемых текущих рыночных операциях с таким же инструментом (т.е. без модификации и внесения изменений), или исходя из имеющихся наблюдаемых рыночных данных.</w:t>
            </w:r>
          </w:p>
          <w:p w:rsidR="00BB1376" w:rsidRDefault="00BB1376" w:rsidP="00BB1376">
            <w:pPr>
              <w:pStyle w:val="a3"/>
              <w:jc w:val="both"/>
              <w:rPr>
                <w:color w:val="626262"/>
                <w:sz w:val="20"/>
                <w:szCs w:val="20"/>
              </w:rPr>
            </w:pPr>
            <w:r>
              <w:rPr>
                <w:color w:val="626262"/>
                <w:sz w:val="20"/>
                <w:szCs w:val="20"/>
              </w:rPr>
              <w:t>49           Справедливая стоимость финансового обязательства, погашаемого по требованию кредитора (например, депозит до востребования), будет не меньшей, чем сумма, подлежащая выплате по требованию, дисконтированная с первой даты, на которую может быть потребована выплата этой суммы.</w:t>
            </w:r>
          </w:p>
          <w:p w:rsidR="00BB1376" w:rsidRDefault="00BB1376" w:rsidP="00BB1376">
            <w:pPr>
              <w:pStyle w:val="a3"/>
              <w:jc w:val="both"/>
              <w:rPr>
                <w:color w:val="626262"/>
                <w:sz w:val="20"/>
                <w:szCs w:val="20"/>
              </w:rPr>
            </w:pPr>
            <w:r>
              <w:rPr>
                <w:color w:val="626262"/>
                <w:sz w:val="20"/>
                <w:szCs w:val="20"/>
              </w:rPr>
              <w:t>Переклассификация</w:t>
            </w:r>
          </w:p>
          <w:p w:rsidR="00BB1376" w:rsidRDefault="00BB1376" w:rsidP="00BB1376">
            <w:pPr>
              <w:pStyle w:val="a3"/>
              <w:jc w:val="both"/>
              <w:rPr>
                <w:color w:val="626262"/>
                <w:sz w:val="20"/>
                <w:szCs w:val="20"/>
              </w:rPr>
            </w:pPr>
            <w:r>
              <w:rPr>
                <w:color w:val="626262"/>
                <w:sz w:val="20"/>
                <w:szCs w:val="20"/>
              </w:rPr>
              <w:t>50           Предприятие не должно переклассифицировать финансовый инструмент, переводя его в категорию «учтенных по справедливой стоимости» через прибыль или убыток, или из этой категории, в течение периода владения им или пока этот инструмент находится в обращении.</w:t>
            </w:r>
          </w:p>
          <w:p w:rsidR="00BB1376" w:rsidRDefault="00BB1376" w:rsidP="00BB1376">
            <w:pPr>
              <w:pStyle w:val="a3"/>
              <w:jc w:val="both"/>
              <w:rPr>
                <w:color w:val="626262"/>
                <w:sz w:val="20"/>
                <w:szCs w:val="20"/>
              </w:rPr>
            </w:pPr>
            <w:r>
              <w:rPr>
                <w:color w:val="626262"/>
                <w:sz w:val="20"/>
                <w:szCs w:val="20"/>
              </w:rPr>
              <w:t>51           Если в результате изменения намерения или возможности предприятия инвестиция больше не удовлетворяет определению удерживаемой до погашения, необходимо переклассифицировать ее в категорию «имеющихся в наличии для продажи» и переоценить ее по справедливой стоимости. При этом разница между ее балансовой стоимостью и справедливой стоимостью должна учитываться в соответствии с параграфом 55(b).</w:t>
            </w:r>
          </w:p>
          <w:p w:rsidR="00BB1376" w:rsidRDefault="00BB1376" w:rsidP="00BB1376">
            <w:pPr>
              <w:pStyle w:val="a3"/>
              <w:jc w:val="both"/>
              <w:rPr>
                <w:color w:val="626262"/>
                <w:sz w:val="20"/>
                <w:szCs w:val="20"/>
              </w:rPr>
            </w:pPr>
            <w:r>
              <w:rPr>
                <w:color w:val="626262"/>
                <w:sz w:val="20"/>
                <w:szCs w:val="20"/>
              </w:rPr>
              <w:t>52           Всякий раз, когда продажа или переклассификация инвестиций, удерживаемых до погашения, на более чем незначительную сумму, не соответствует какому-либо условию параграфа 9, все оставшиеся инвестиции, удерживаемые до погашения, должны быть переклассифицированы в категорию «имеющихся в наличии для продажи». При такой переклассификации разница между их балансовой стоимостью и справедливой стоимостью должна учитываться в соответствии с параграфом 55(b).</w:t>
            </w:r>
          </w:p>
          <w:p w:rsidR="00BB1376" w:rsidRDefault="00BB1376" w:rsidP="00BB1376">
            <w:pPr>
              <w:pStyle w:val="a3"/>
              <w:jc w:val="both"/>
              <w:rPr>
                <w:color w:val="626262"/>
                <w:sz w:val="20"/>
                <w:szCs w:val="20"/>
              </w:rPr>
            </w:pPr>
            <w:r>
              <w:rPr>
                <w:color w:val="626262"/>
                <w:sz w:val="20"/>
                <w:szCs w:val="20"/>
              </w:rPr>
              <w:t>53           Если становится возможным надежное измерение финансового актива или финансового обязательства, для которого такое измерение не было возможно ранее, и этот актив или обязательство должны измеряться по справедливой стоимости при наличии надежного измерения (см. параграфы 46(с) и 47), то актив или обязательство должны быть переоценены по справедливой стоимости, при этом разница между балансовой стоимостью и справедливой стоимостью должна учитываться в соответствии с параграфом 55.</w:t>
            </w:r>
          </w:p>
          <w:p w:rsidR="00BB1376" w:rsidRDefault="00BB1376" w:rsidP="00BB1376">
            <w:pPr>
              <w:pStyle w:val="a3"/>
              <w:jc w:val="both"/>
              <w:rPr>
                <w:color w:val="626262"/>
                <w:sz w:val="20"/>
                <w:szCs w:val="20"/>
              </w:rPr>
            </w:pPr>
            <w:r>
              <w:rPr>
                <w:color w:val="626262"/>
                <w:sz w:val="20"/>
                <w:szCs w:val="20"/>
              </w:rPr>
              <w:t xml:space="preserve">54           Если в результате изменения намерения или возможности предприятия, либо в редких случаях, когда надежное измерение справедливой стоимости становится невозможным (см. параграфы 46(с) и 47), либо из-за окончания указанных в параграфе 9 «двух предыдущих финансовых лет», финансовый актив или финансовое обязательство требуется учитывать по фактическим затратам или по амортизируемой стоимости, а не по справедливой стоимости, то справедливая стоимость, являющаяся балансовой стоимостью этого финансового актива или финансового обязательства, с этого момента становится новой </w:t>
            </w:r>
            <w:r>
              <w:rPr>
                <w:color w:val="626262"/>
                <w:sz w:val="20"/>
                <w:szCs w:val="20"/>
              </w:rPr>
              <w:lastRenderedPageBreak/>
              <w:t>величиной фактических затрат или, соответственно, амортизированной стоимости этого финансового актива или финансового обязательства. Предыдущий доход или убыток, полученный от такого актива, признанный непосредственно в собственном капитале в соответствии с параграфом 55(b), должен учитываться следующим образом:</w:t>
            </w:r>
          </w:p>
          <w:p w:rsidR="00BB1376" w:rsidRDefault="00BB1376" w:rsidP="00BB1376">
            <w:pPr>
              <w:pStyle w:val="a3"/>
              <w:jc w:val="both"/>
              <w:rPr>
                <w:color w:val="626262"/>
                <w:sz w:val="20"/>
                <w:szCs w:val="20"/>
              </w:rPr>
            </w:pPr>
            <w:r>
              <w:rPr>
                <w:color w:val="626262"/>
                <w:sz w:val="20"/>
                <w:szCs w:val="20"/>
              </w:rPr>
              <w:t>(а)           в случае финансового актива с фиксированным сроком погашения доход или убыток должен амортизироваться на прибыль или убыток на протяжении остающегося срока инвестиции, удерживаемой до погашения, с использованием метода эффективной ставки процента. Разницу между новой величиной амортизируемой стоимости и суммой к погашению необходимо также амортизировать в течение оставшегося срока до погашения финансового актива, с использованием метода эффективной ставки процента, аналогично амортизации премии или дисконта. Если финансовый актив впоследствии обесценивается, то доход или убыток, признанный непосредственно в собственном капитале, признается в составе прибыли или убытка в соответствии с параграфом 67;</w:t>
            </w:r>
          </w:p>
          <w:p w:rsidR="00BB1376" w:rsidRDefault="00BB1376" w:rsidP="00BB1376">
            <w:pPr>
              <w:pStyle w:val="a3"/>
              <w:jc w:val="both"/>
              <w:rPr>
                <w:color w:val="626262"/>
                <w:sz w:val="20"/>
                <w:szCs w:val="20"/>
              </w:rPr>
            </w:pPr>
            <w:r>
              <w:rPr>
                <w:color w:val="626262"/>
                <w:sz w:val="20"/>
                <w:szCs w:val="20"/>
              </w:rPr>
              <w:t>(b)           в случае финансового актива, не имеющего фиксированного срока погашения, доход или убыток должен оставаться в составе собственного капитала до момента продажи или иного выбытия финансового актива. В этот момент такой доход или убыток должен признаваться в составе прибыли или убытка. Если финансовый актив впоследствии обесценивается, то предыдущий доход или убыток, признанный непосредственно в собственном капитале, признается в составе прибыли или убытка в соответствии с параграфом 67.</w:t>
            </w:r>
          </w:p>
          <w:p w:rsidR="00BB1376" w:rsidRDefault="00BB1376" w:rsidP="00BB1376">
            <w:pPr>
              <w:pStyle w:val="a3"/>
              <w:jc w:val="both"/>
              <w:rPr>
                <w:color w:val="626262"/>
                <w:sz w:val="20"/>
                <w:szCs w:val="20"/>
              </w:rPr>
            </w:pPr>
            <w:r>
              <w:rPr>
                <w:color w:val="626262"/>
                <w:sz w:val="20"/>
                <w:szCs w:val="20"/>
              </w:rPr>
              <w:t>Доходы и убытки</w:t>
            </w:r>
          </w:p>
          <w:p w:rsidR="00BB1376" w:rsidRDefault="00BB1376" w:rsidP="00BB1376">
            <w:pPr>
              <w:pStyle w:val="a3"/>
              <w:jc w:val="both"/>
              <w:rPr>
                <w:color w:val="626262"/>
                <w:sz w:val="20"/>
                <w:szCs w:val="20"/>
              </w:rPr>
            </w:pPr>
            <w:r>
              <w:rPr>
                <w:color w:val="626262"/>
                <w:sz w:val="20"/>
                <w:szCs w:val="20"/>
              </w:rPr>
              <w:t>55           Доход или убыток, возникающий от изменения справедливой стоимости финансового актива или финансового обязательства, которое не является частью отношений хеджирования (см. параграфы 89-102), должен признаваться следующим образом:</w:t>
            </w:r>
          </w:p>
          <w:p w:rsidR="00BB1376" w:rsidRDefault="00BB1376" w:rsidP="00BB1376">
            <w:pPr>
              <w:pStyle w:val="a3"/>
              <w:jc w:val="both"/>
              <w:rPr>
                <w:color w:val="626262"/>
                <w:sz w:val="20"/>
                <w:szCs w:val="20"/>
              </w:rPr>
            </w:pPr>
            <w:r>
              <w:rPr>
                <w:color w:val="626262"/>
                <w:sz w:val="20"/>
                <w:szCs w:val="20"/>
              </w:rPr>
              <w:t>(а)           доход или убыток от финансового актива или финансового обязательства, учтенного по справедливой стоимости через прибыль или убыток, должен признаваться в составе прибыли или убытка;</w:t>
            </w:r>
          </w:p>
          <w:p w:rsidR="00BB1376" w:rsidRDefault="00BB1376" w:rsidP="00BB1376">
            <w:pPr>
              <w:pStyle w:val="a3"/>
              <w:jc w:val="both"/>
              <w:rPr>
                <w:color w:val="626262"/>
                <w:sz w:val="20"/>
                <w:szCs w:val="20"/>
              </w:rPr>
            </w:pPr>
            <w:r>
              <w:rPr>
                <w:color w:val="626262"/>
                <w:sz w:val="20"/>
                <w:szCs w:val="20"/>
              </w:rPr>
              <w:t>(b)           доход или убыток от финансового актива, имеющегося в наличии для продажи, должен быть признан непосредственно в собственном капитале (см. МСФО (IAS) 1</w:t>
            </w:r>
            <w:r>
              <w:rPr>
                <w:rStyle w:val="apple-converted-space"/>
                <w:color w:val="626262"/>
                <w:sz w:val="20"/>
                <w:szCs w:val="20"/>
              </w:rPr>
              <w:t> </w:t>
            </w:r>
            <w:r>
              <w:rPr>
                <w:rStyle w:val="a5"/>
                <w:color w:val="626262"/>
                <w:sz w:val="20"/>
                <w:szCs w:val="20"/>
              </w:rPr>
              <w:t>«Представление финансовой отчетности»</w:t>
            </w:r>
            <w:r>
              <w:rPr>
                <w:color w:val="626262"/>
                <w:sz w:val="20"/>
                <w:szCs w:val="20"/>
              </w:rPr>
              <w:t>) за исключением убытков от обесценения (см. параграфы 67-70) и прибылей и убытков от изменения курсов иностранных валют (см. параграф AG83 приложения А) до тех пор, пока не прекращено признание финансового актива. В этот момент накопленный доход или убыток, ранее признанный в собственном капитале, должен быть признан в составе прибыли или убытка. Однако проценты, рассчитанные с использованием метода эффективной ставки процента (см. параграф 9), признаются в составе прибыли или убытка (см. МСФО (IAS) 18</w:t>
            </w:r>
            <w:r>
              <w:rPr>
                <w:rStyle w:val="apple-converted-space"/>
                <w:color w:val="626262"/>
                <w:sz w:val="20"/>
                <w:szCs w:val="20"/>
              </w:rPr>
              <w:t> </w:t>
            </w:r>
            <w:r>
              <w:rPr>
                <w:rStyle w:val="a5"/>
                <w:color w:val="626262"/>
                <w:sz w:val="20"/>
                <w:szCs w:val="20"/>
              </w:rPr>
              <w:t>«Выручка»</w:t>
            </w:r>
            <w:r>
              <w:rPr>
                <w:color w:val="626262"/>
                <w:sz w:val="20"/>
                <w:szCs w:val="20"/>
              </w:rPr>
              <w:t>). Дивиденды по имеющимся в наличии для продажи долевым инструментам признаются в составе прибыли или убытка, когда установлено право предприятия на получение платежа (см. МСФО (IAS) 18).</w:t>
            </w:r>
          </w:p>
          <w:p w:rsidR="00BB1376" w:rsidRDefault="00BB1376" w:rsidP="00BB1376">
            <w:pPr>
              <w:pStyle w:val="a3"/>
              <w:jc w:val="both"/>
              <w:rPr>
                <w:color w:val="626262"/>
                <w:sz w:val="20"/>
                <w:szCs w:val="20"/>
              </w:rPr>
            </w:pPr>
            <w:r>
              <w:rPr>
                <w:color w:val="626262"/>
                <w:sz w:val="20"/>
                <w:szCs w:val="20"/>
              </w:rPr>
              <w:t>56           Доход или убыток от финансовых активов и финансовых обязательств, учитываемых по амортизированной стоимости (см. параграфы 46 и 47), признаются в составе прибыли или убытка при прекращении признания финансового актива или обязательства, либо при его обесценении, а также через процесс амортизации. Однако для финансовых активов или финансовых обязательств, являющихся хеджируемыми статьями (см. параграфы 78-84 и параграфы AG98-AG101 приложения А), учет доходов и убытков должен осуществляться согласно параграфам 89-102.</w:t>
            </w:r>
          </w:p>
          <w:p w:rsidR="00BB1376" w:rsidRDefault="00BB1376" w:rsidP="00BB1376">
            <w:pPr>
              <w:pStyle w:val="a3"/>
              <w:jc w:val="both"/>
              <w:rPr>
                <w:color w:val="626262"/>
                <w:sz w:val="20"/>
                <w:szCs w:val="20"/>
              </w:rPr>
            </w:pPr>
            <w:r>
              <w:rPr>
                <w:color w:val="626262"/>
                <w:sz w:val="20"/>
                <w:szCs w:val="20"/>
              </w:rPr>
              <w:t>57           Если предприятие признает финансовые активы, используя учет по дате расчетов (см. параграф 38 и параграфы AG53 и AG56 приложения А), то изменения в справедливой стоимости актива, подлежащего получению, произошедшие в течение периода между датой заключения сделки и датой расчетов, не признаются в случае, если актив учитывается по фактическим затратам или по амортизированной стоимости (за исключением убытков от обесценения). Однако для активов, учитываемых по справедливой стоимости, такие изменения справедливой стоимости должны признаваться в составе прибыли или убытка либо в собственном капитале в соответствии с параграфом 55.</w:t>
            </w:r>
          </w:p>
          <w:p w:rsidR="00BB1376" w:rsidRDefault="00BB1376" w:rsidP="00BB1376">
            <w:pPr>
              <w:pStyle w:val="a3"/>
              <w:jc w:val="both"/>
              <w:rPr>
                <w:color w:val="626262"/>
                <w:sz w:val="20"/>
                <w:szCs w:val="20"/>
              </w:rPr>
            </w:pPr>
            <w:r>
              <w:rPr>
                <w:color w:val="626262"/>
                <w:sz w:val="20"/>
                <w:szCs w:val="20"/>
              </w:rPr>
              <w:t>Обесценение и безнадежная задолженность по финансовым активам</w:t>
            </w:r>
          </w:p>
          <w:p w:rsidR="00BB1376" w:rsidRDefault="00BB1376" w:rsidP="00BB1376">
            <w:pPr>
              <w:pStyle w:val="a3"/>
              <w:jc w:val="both"/>
              <w:rPr>
                <w:color w:val="626262"/>
                <w:sz w:val="20"/>
                <w:szCs w:val="20"/>
              </w:rPr>
            </w:pPr>
            <w:r>
              <w:rPr>
                <w:color w:val="626262"/>
                <w:sz w:val="20"/>
                <w:szCs w:val="20"/>
              </w:rPr>
              <w:t xml:space="preserve">58           На каждую отчетную дату предприятию следует оценивать наличие объективных свидетельств того, что финансовый актив или группа финансовых активов обесценилась. Если такое свидетельство существует, то предприятие должно применять параграф 63 (для финансовых активов, учитываемых по </w:t>
            </w:r>
            <w:r>
              <w:rPr>
                <w:color w:val="626262"/>
                <w:sz w:val="20"/>
                <w:szCs w:val="20"/>
              </w:rPr>
              <w:lastRenderedPageBreak/>
              <w:t>амортизированной стоимости), параграф 66 (для финансовых активов, учитываемых по фактическим затратам) или параграф 67 (для финансовых активов, имеющихся в наличии для продажи) для определения суммы убытка от обесценения.</w:t>
            </w:r>
          </w:p>
          <w:p w:rsidR="00BB1376" w:rsidRDefault="00BB1376" w:rsidP="00BB1376">
            <w:pPr>
              <w:pStyle w:val="a3"/>
              <w:jc w:val="both"/>
              <w:rPr>
                <w:color w:val="626262"/>
                <w:sz w:val="20"/>
                <w:szCs w:val="20"/>
              </w:rPr>
            </w:pPr>
            <w:r>
              <w:rPr>
                <w:color w:val="626262"/>
                <w:sz w:val="20"/>
                <w:szCs w:val="20"/>
              </w:rPr>
              <w:t>59           Финансовый актив или группа финансовых активов обесцениваются и имеют место убытки от обесценения, если и только если существует объективное подтверждение обесценения в результате одного или нескольких событий, которые имели место после первоначального признания актива («событие, приводящее к убытку»), и такое событие, приводящее к убытку (или события), влияет на ожидаемые будущие денежные потоки по финансовому активу или группе финансовых активов, сумма которых может быть надежно оценена. Определить одно конкретное событие, которое приводит к обесценению, невозможно. Обесценение вызывается совокупностью событий. Убытки, ожидаемые в результате будущих событий, не признаются вне зависимости от степени вероятности их понесения. Объективные подтверждения обесценения финансового актива или группы финансовых активов включают наблюдаемые данные, которые становятся известны держателю актива, о следующих событиях, приводящих к убытку:</w:t>
            </w:r>
          </w:p>
          <w:p w:rsidR="00BB1376" w:rsidRDefault="00BB1376" w:rsidP="00BB1376">
            <w:pPr>
              <w:pStyle w:val="a3"/>
              <w:jc w:val="both"/>
              <w:rPr>
                <w:color w:val="626262"/>
                <w:sz w:val="20"/>
                <w:szCs w:val="20"/>
              </w:rPr>
            </w:pPr>
            <w:r>
              <w:rPr>
                <w:color w:val="626262"/>
                <w:sz w:val="20"/>
                <w:szCs w:val="20"/>
              </w:rPr>
              <w:t>(а)           значительные финансовые затруднения эмитента или должника;</w:t>
            </w:r>
          </w:p>
          <w:p w:rsidR="00BB1376" w:rsidRDefault="00BB1376" w:rsidP="00BB1376">
            <w:pPr>
              <w:pStyle w:val="a3"/>
              <w:jc w:val="both"/>
              <w:rPr>
                <w:color w:val="626262"/>
                <w:sz w:val="20"/>
                <w:szCs w:val="20"/>
              </w:rPr>
            </w:pPr>
            <w:r>
              <w:rPr>
                <w:color w:val="626262"/>
                <w:sz w:val="20"/>
                <w:szCs w:val="20"/>
              </w:rPr>
              <w:t>(b)           нарушение договора, например, неуплата или нарушение сроков платежа процентов или основной суммы долга;</w:t>
            </w:r>
          </w:p>
          <w:p w:rsidR="00BB1376" w:rsidRDefault="00BB1376" w:rsidP="00BB1376">
            <w:pPr>
              <w:pStyle w:val="a3"/>
              <w:jc w:val="both"/>
              <w:rPr>
                <w:color w:val="626262"/>
                <w:sz w:val="20"/>
                <w:szCs w:val="20"/>
              </w:rPr>
            </w:pPr>
            <w:r>
              <w:rPr>
                <w:color w:val="626262"/>
                <w:sz w:val="20"/>
                <w:szCs w:val="20"/>
              </w:rPr>
              <w:t>(c)           предоставление кредитором должнику уступок, экономически или юридически связанных с финансовыми затруднениями заемщика, которые не были бы предоставлены в противном случае;</w:t>
            </w:r>
          </w:p>
          <w:p w:rsidR="00BB1376" w:rsidRDefault="00BB1376" w:rsidP="00BB1376">
            <w:pPr>
              <w:pStyle w:val="a3"/>
              <w:jc w:val="both"/>
              <w:rPr>
                <w:color w:val="626262"/>
                <w:sz w:val="20"/>
                <w:szCs w:val="20"/>
              </w:rPr>
            </w:pPr>
            <w:r>
              <w:rPr>
                <w:color w:val="626262"/>
                <w:sz w:val="20"/>
                <w:szCs w:val="20"/>
              </w:rPr>
              <w:t>(d)           возможность банкротства или иного рода финансовой реорганизации заемщика;</w:t>
            </w:r>
          </w:p>
          <w:p w:rsidR="00BB1376" w:rsidRDefault="00BB1376" w:rsidP="00BB1376">
            <w:pPr>
              <w:pStyle w:val="a3"/>
              <w:jc w:val="both"/>
              <w:rPr>
                <w:color w:val="626262"/>
                <w:sz w:val="20"/>
                <w:szCs w:val="20"/>
              </w:rPr>
            </w:pPr>
            <w:r>
              <w:rPr>
                <w:color w:val="626262"/>
                <w:sz w:val="20"/>
                <w:szCs w:val="20"/>
              </w:rPr>
              <w:t>(e)           исчезновение активного рынка для финансового актива в результате финансовых затруднений; или</w:t>
            </w:r>
          </w:p>
          <w:p w:rsidR="00BB1376" w:rsidRDefault="00BB1376" w:rsidP="00BB1376">
            <w:pPr>
              <w:pStyle w:val="a3"/>
              <w:jc w:val="both"/>
              <w:rPr>
                <w:color w:val="626262"/>
                <w:sz w:val="20"/>
                <w:szCs w:val="20"/>
              </w:rPr>
            </w:pPr>
            <w:r>
              <w:rPr>
                <w:color w:val="626262"/>
                <w:sz w:val="20"/>
                <w:szCs w:val="20"/>
              </w:rPr>
              <w:t>(f)            наличие наблюдаемых данных, свидетельствующих о снижении суммы ожидаемых будущих денежных средств по группе финансовых активов после первоначального признания таких активов, хотя такое снижение еще не может быть определено для отдельных финансовых активов в группе, включая:</w:t>
            </w:r>
          </w:p>
          <w:p w:rsidR="00BB1376" w:rsidRDefault="00BB1376" w:rsidP="00BB1376">
            <w:pPr>
              <w:pStyle w:val="a3"/>
              <w:jc w:val="both"/>
              <w:rPr>
                <w:color w:val="626262"/>
                <w:sz w:val="20"/>
                <w:szCs w:val="20"/>
              </w:rPr>
            </w:pPr>
            <w:r>
              <w:rPr>
                <w:color w:val="626262"/>
                <w:sz w:val="20"/>
                <w:szCs w:val="20"/>
              </w:rPr>
              <w:t>(i)            негативные изменения платежного статуса заемщиков в группе (например, увеличение количества просроченных платежей или заемщиков, которые исчерпали кредитный лимит по кредитным картам и погашают причитающиеся суммы ежемесячными минимальными взносами); или</w:t>
            </w:r>
          </w:p>
          <w:p w:rsidR="00BB1376" w:rsidRDefault="00BB1376" w:rsidP="00BB1376">
            <w:pPr>
              <w:pStyle w:val="a3"/>
              <w:jc w:val="both"/>
              <w:rPr>
                <w:color w:val="626262"/>
                <w:sz w:val="20"/>
                <w:szCs w:val="20"/>
              </w:rPr>
            </w:pPr>
            <w:r>
              <w:rPr>
                <w:color w:val="626262"/>
                <w:sz w:val="20"/>
                <w:szCs w:val="20"/>
              </w:rPr>
              <w:t>(ii)           национальные или местные экономические условия, которые соотносятся с неплатежами по активам в группе (например, увеличение уровня безработицы в географическом регионе заемщиков, снижение цен на недвижимость для ипотечных займов в соответствующем регионе, снижение цен на нефть для ссудных активов или негативные изменения условий в отрасли, которые влияют на заемщиков в группе).</w:t>
            </w:r>
          </w:p>
          <w:p w:rsidR="00BB1376" w:rsidRDefault="00BB1376" w:rsidP="00BB1376">
            <w:pPr>
              <w:pStyle w:val="a3"/>
              <w:jc w:val="both"/>
              <w:rPr>
                <w:color w:val="626262"/>
                <w:sz w:val="20"/>
                <w:szCs w:val="20"/>
              </w:rPr>
            </w:pPr>
            <w:r>
              <w:rPr>
                <w:color w:val="626262"/>
                <w:sz w:val="20"/>
                <w:szCs w:val="20"/>
              </w:rPr>
              <w:t>60           Исчезновение активного рынка для финансового инструмента предприятия в результате прекращения открытой торговли не является подтверждением обесценения. Снижение кредитного рейтинга предприятия само по себе не является подтверждением обесценения, хотя может свидетельствовать об обесценении в совокупности с другими доступными данными. Снижение справедливой стоимости финансового актива ниже фактических затрат или амортизируемой стоимости не обязательно является подтверждением обесценения (например, снижение справедливой стоимости инвестиций в долговые инструменты в результате повышения безрисковой ставки процента).</w:t>
            </w:r>
          </w:p>
          <w:p w:rsidR="00BB1376" w:rsidRDefault="00BB1376" w:rsidP="00BB1376">
            <w:pPr>
              <w:pStyle w:val="a3"/>
              <w:jc w:val="both"/>
              <w:rPr>
                <w:color w:val="626262"/>
                <w:sz w:val="20"/>
                <w:szCs w:val="20"/>
              </w:rPr>
            </w:pPr>
            <w:r>
              <w:rPr>
                <w:color w:val="626262"/>
                <w:sz w:val="20"/>
                <w:szCs w:val="20"/>
              </w:rPr>
              <w:t>61           В дополнение к типам событий, описанных в параграфе 59, объективное свидетельство обесценения инвестиции в долевой инструмент включает информацию о значительных изменениях с неблагоприятным эффектом, имевших место в технологической, рыночной, экономической или правовой среде, в которой эмитент осуществляет деятельность, указывающих на то, что себестоимость инвестиции в долевой инструмент может не быть возмещена. Значительное или продолжающееся снижение справедливой стоимости инвестиции в долевой инструмент ниже ее себестоимости также является объективным свидетельством обесценения.</w:t>
            </w:r>
          </w:p>
          <w:p w:rsidR="00BB1376" w:rsidRDefault="00BB1376" w:rsidP="00BB1376">
            <w:pPr>
              <w:pStyle w:val="a3"/>
              <w:jc w:val="both"/>
              <w:rPr>
                <w:color w:val="626262"/>
                <w:sz w:val="20"/>
                <w:szCs w:val="20"/>
              </w:rPr>
            </w:pPr>
            <w:r>
              <w:rPr>
                <w:color w:val="626262"/>
                <w:sz w:val="20"/>
                <w:szCs w:val="20"/>
              </w:rPr>
              <w:t xml:space="preserve">62           В некоторых случаях наблюдаемая информация, требуемая для расчета суммы убытка от обесценения по финансовому активу, может быть ограничена или может более не соответствовать текущим обстоятельствам. Например, такая ситуация может возникнуть, когда у заемщика имеются финансовые </w:t>
            </w:r>
            <w:r>
              <w:rPr>
                <w:color w:val="626262"/>
                <w:sz w:val="20"/>
                <w:szCs w:val="20"/>
              </w:rPr>
              <w:lastRenderedPageBreak/>
              <w:t>трудности и имеется мало исторических данных, относящихся к аналогичным заемщикам. В таких случаях предприятие использует свое суждение, основанное на опыте, для того, чтобы оценить сумму убытка от обесценения. Аналогично, предприятие использует свое суждение, основанное на опыте, для того, чтобы уточнить наблюдаемую информацию о группе финансовых активов, с целью отразить текущие обстоятельства (см. параграф AG89). Использование обоснованных расчетных оценок является важной частью подготовки финансовой отчетности и не снижает степени ее надежности.</w:t>
            </w:r>
          </w:p>
          <w:p w:rsidR="00BB1376" w:rsidRDefault="00BB1376" w:rsidP="00BB1376">
            <w:pPr>
              <w:pStyle w:val="a3"/>
              <w:jc w:val="both"/>
              <w:rPr>
                <w:color w:val="626262"/>
                <w:sz w:val="20"/>
                <w:szCs w:val="20"/>
              </w:rPr>
            </w:pPr>
            <w:r>
              <w:rPr>
                <w:color w:val="626262"/>
                <w:sz w:val="20"/>
                <w:szCs w:val="20"/>
              </w:rPr>
              <w:t>Финансовые активы, учитываемые по амортизированной стоимости</w:t>
            </w:r>
          </w:p>
          <w:p w:rsidR="00BB1376" w:rsidRDefault="00BB1376" w:rsidP="00BB1376">
            <w:pPr>
              <w:pStyle w:val="a3"/>
              <w:jc w:val="both"/>
              <w:rPr>
                <w:color w:val="626262"/>
                <w:sz w:val="20"/>
                <w:szCs w:val="20"/>
              </w:rPr>
            </w:pPr>
            <w:r>
              <w:rPr>
                <w:color w:val="626262"/>
                <w:sz w:val="20"/>
                <w:szCs w:val="20"/>
              </w:rPr>
              <w:t>63           Если существует объективное свидетельство понесения убытка от обесценения займов и дебиторской задолженности или удерживаемых до погашения инвестиций, учитываемых по амортизированной стоимости, то сумма убытка измеряется как разница между балансовой стоимостью актива и приведенной стоимостью расчетных будущих потоков денежных средств (исключая будущие кредитные убытки, которые не были понесены), дисконтированная по первоначальной эффективной ставке процента по финансовому активу (т.е. эффективной ставке процента, рассчитанной при первоначальном признании). Балансовая стоимость актива должна быть уменьшена непосредственно или с использованием счета оценочного резерва. Сумма убытка должна быть признана в составе прибыли или убытка.</w:t>
            </w:r>
          </w:p>
          <w:p w:rsidR="00BB1376" w:rsidRDefault="00BB1376" w:rsidP="00BB1376">
            <w:pPr>
              <w:pStyle w:val="a3"/>
              <w:jc w:val="both"/>
              <w:rPr>
                <w:color w:val="626262"/>
                <w:sz w:val="20"/>
                <w:szCs w:val="20"/>
              </w:rPr>
            </w:pPr>
            <w:r>
              <w:rPr>
                <w:color w:val="626262"/>
                <w:sz w:val="20"/>
                <w:szCs w:val="20"/>
              </w:rPr>
              <w:t>64           Предприятие сначала оценивает, существует ли объективное свидетельство обесценения, отдельно для финансовых активов, являющихся значительными по отдельности, а также отдельно или совместно для финансовых активов, не являющихся значительными по отдельности (см. параграф 59). Если предприятие установило, что не существует объективного свидетельства обесценения отдельно оцененного финансового актива, независимо от того, является этот актив значительным или нет, оно включает данный актив в группу финансовых активов с аналогичными характеристиками кредитного риска и оценивает их на обесценение совместно. Отдельно оцененные на обесценение активы, для которых был признан или продолжает признаваться убыток от обесценения, не включаются в совместную оценку обесценения в составе группы активов.</w:t>
            </w:r>
          </w:p>
          <w:p w:rsidR="00BB1376" w:rsidRDefault="00BB1376" w:rsidP="00BB1376">
            <w:pPr>
              <w:pStyle w:val="a3"/>
              <w:jc w:val="both"/>
              <w:rPr>
                <w:color w:val="626262"/>
                <w:sz w:val="20"/>
                <w:szCs w:val="20"/>
              </w:rPr>
            </w:pPr>
            <w:r>
              <w:rPr>
                <w:color w:val="626262"/>
                <w:sz w:val="20"/>
                <w:szCs w:val="20"/>
              </w:rPr>
              <w:t>65           Если в последующем периоде величина убытка от обесценения сокращается, и это сокращение можно объективно связать с событием, произошедшим после того, как было признано обесценение (например, с повышением рейтинга кредитоспособности дебитора), ранее признанный убыток от обесценения следует восстановить либо непосредственно, либо путем корректировки счета оценочного резерва. Такая реверсивная запись не должна приводить к тому, чтобы балансовая стоимость финансового актива превысила его амортизированную стоимость, рассчитанную, как если бы обесценение не было признано, на дату восстановления обесценения. Сумма реверсивной записи должна быть признана в составе прибыли или убытка.</w:t>
            </w:r>
          </w:p>
          <w:p w:rsidR="00BB1376" w:rsidRDefault="00BB1376" w:rsidP="00BB1376">
            <w:pPr>
              <w:pStyle w:val="a3"/>
              <w:jc w:val="both"/>
              <w:rPr>
                <w:color w:val="626262"/>
                <w:sz w:val="20"/>
                <w:szCs w:val="20"/>
              </w:rPr>
            </w:pPr>
            <w:r>
              <w:rPr>
                <w:color w:val="626262"/>
                <w:sz w:val="20"/>
                <w:szCs w:val="20"/>
              </w:rPr>
              <w:t>Финансовые активы, учитываемые по себестоимости</w:t>
            </w:r>
          </w:p>
          <w:p w:rsidR="00BB1376" w:rsidRDefault="00BB1376" w:rsidP="00BB1376">
            <w:pPr>
              <w:pStyle w:val="a3"/>
              <w:jc w:val="both"/>
              <w:rPr>
                <w:color w:val="626262"/>
                <w:sz w:val="20"/>
                <w:szCs w:val="20"/>
              </w:rPr>
            </w:pPr>
            <w:r>
              <w:rPr>
                <w:color w:val="626262"/>
                <w:sz w:val="20"/>
                <w:szCs w:val="20"/>
              </w:rPr>
              <w:t>66           Если существует объективное свидетельство того, что по некотируемому долевому инструменту, который не учитывается по справедливой стоимости потому, что его справедливая стоимость не может быть надежно измерена, или по активу, являющемуся производным инструментом, который связан с таким некотируемым долевым инструментом, и расчет по которому должен быть произведен путем поставки такого долевого  инструмента, был понесен убыток от обесценения, сумма убытка от обесценения измеряется как разница между балансовой стоимостью финансового актива и приведенной стоимостью расчетных будущих потоков денежных средств, дисконтированных по текущей рыночной норме доходности для аналогичного финансового актива (см. параграф 46(с) и параграфы AG80 и AG81 приложения А). Такие убытки от обесценения в дальнейшем не должны восстанавливаться.</w:t>
            </w:r>
          </w:p>
          <w:p w:rsidR="00BB1376" w:rsidRDefault="00BB1376" w:rsidP="00BB1376">
            <w:pPr>
              <w:pStyle w:val="a3"/>
              <w:jc w:val="both"/>
              <w:rPr>
                <w:color w:val="626262"/>
                <w:sz w:val="20"/>
                <w:szCs w:val="20"/>
              </w:rPr>
            </w:pPr>
            <w:r>
              <w:rPr>
                <w:color w:val="626262"/>
                <w:sz w:val="20"/>
                <w:szCs w:val="20"/>
              </w:rPr>
              <w:t>Финансовые активы, имеющиеся в наличии для продажи</w:t>
            </w:r>
          </w:p>
          <w:p w:rsidR="00BB1376" w:rsidRDefault="00BB1376" w:rsidP="00BB1376">
            <w:pPr>
              <w:pStyle w:val="a3"/>
              <w:jc w:val="both"/>
              <w:rPr>
                <w:color w:val="626262"/>
                <w:sz w:val="20"/>
                <w:szCs w:val="20"/>
              </w:rPr>
            </w:pPr>
            <w:r>
              <w:rPr>
                <w:color w:val="626262"/>
                <w:sz w:val="20"/>
                <w:szCs w:val="20"/>
              </w:rPr>
              <w:t>67           Если снижение справедливой стоимости имеющегося в наличии для продажи финансового актива признано непосредственно в собственном капитале, и при этом имеется объективное свидетельство обесценения актива (см. параграф 59), то накопленный убыток, признанный непосредственно в собственном капитале, должен быть исключен из собственного капитала и признан в составе прибыли или убытка, даже если признание финансового актива не было прекращено.</w:t>
            </w:r>
          </w:p>
          <w:p w:rsidR="00BB1376" w:rsidRDefault="00BB1376" w:rsidP="00BB1376">
            <w:pPr>
              <w:pStyle w:val="a3"/>
              <w:jc w:val="both"/>
              <w:rPr>
                <w:color w:val="626262"/>
                <w:sz w:val="20"/>
                <w:szCs w:val="20"/>
              </w:rPr>
            </w:pPr>
            <w:r>
              <w:rPr>
                <w:color w:val="626262"/>
                <w:sz w:val="20"/>
                <w:szCs w:val="20"/>
              </w:rPr>
              <w:t xml:space="preserve">68           Сумма накопленного убытка, исключенная из собственного капитала и признанная в составе прибыли или убытка согласно параграфу 67, представляет собой разницу между затратами на приобретение актива (за вычетом полученных выплат основной суммы и амортизации) и текущей справедливой стоимостью, за вычетом убытка от обесценения этого финансового актива, ранее признанного в составе </w:t>
            </w:r>
            <w:r>
              <w:rPr>
                <w:color w:val="626262"/>
                <w:sz w:val="20"/>
                <w:szCs w:val="20"/>
              </w:rPr>
              <w:lastRenderedPageBreak/>
              <w:t>прибыли или убытка.</w:t>
            </w:r>
          </w:p>
          <w:p w:rsidR="00BB1376" w:rsidRDefault="00BB1376" w:rsidP="00BB1376">
            <w:pPr>
              <w:pStyle w:val="a3"/>
              <w:jc w:val="both"/>
              <w:rPr>
                <w:color w:val="626262"/>
                <w:sz w:val="20"/>
                <w:szCs w:val="20"/>
              </w:rPr>
            </w:pPr>
            <w:r>
              <w:rPr>
                <w:color w:val="626262"/>
                <w:sz w:val="20"/>
                <w:szCs w:val="20"/>
              </w:rPr>
              <w:t>69           Убытки от обесценения, признанные в составе прибыли или убытка, по инвестиции в долевой инструмент, классифицированной как имеющаяся в наличии для продажи, в дальнейшем не должны восстанавливаться через прибыль или убыток.</w:t>
            </w:r>
          </w:p>
          <w:p w:rsidR="00BB1376" w:rsidRDefault="00BB1376" w:rsidP="00BB1376">
            <w:pPr>
              <w:pStyle w:val="a3"/>
              <w:jc w:val="both"/>
              <w:rPr>
                <w:color w:val="626262"/>
                <w:sz w:val="20"/>
                <w:szCs w:val="20"/>
              </w:rPr>
            </w:pPr>
            <w:r>
              <w:rPr>
                <w:color w:val="626262"/>
                <w:sz w:val="20"/>
                <w:szCs w:val="20"/>
              </w:rPr>
              <w:t>70           Если в последующем периоде справедливая стоимость долгового инструмента, классифицированного как имеющийся в наличии для продажи, увеличивается, и это увеличение можно объективно связать с событием, случившимся после признания убытка от обесценения в составе прибыли или убытка, то убыток от обесценения следует восстановить, а сумму реверсивной записи признать в составе прибыли или убытка.</w:t>
            </w:r>
          </w:p>
          <w:p w:rsidR="00BB1376" w:rsidRDefault="00BB1376" w:rsidP="00BB1376">
            <w:pPr>
              <w:pStyle w:val="a3"/>
              <w:jc w:val="both"/>
              <w:rPr>
                <w:color w:val="626262"/>
                <w:sz w:val="20"/>
                <w:szCs w:val="20"/>
              </w:rPr>
            </w:pPr>
            <w:r>
              <w:rPr>
                <w:color w:val="626262"/>
                <w:sz w:val="20"/>
                <w:szCs w:val="20"/>
              </w:rPr>
              <w:t>Хеджирование</w:t>
            </w:r>
          </w:p>
          <w:p w:rsidR="00BB1376" w:rsidRDefault="00BB1376" w:rsidP="00BB1376">
            <w:pPr>
              <w:pStyle w:val="a3"/>
              <w:jc w:val="both"/>
              <w:rPr>
                <w:color w:val="626262"/>
                <w:sz w:val="20"/>
                <w:szCs w:val="20"/>
              </w:rPr>
            </w:pPr>
            <w:r>
              <w:rPr>
                <w:color w:val="626262"/>
                <w:sz w:val="20"/>
                <w:szCs w:val="20"/>
              </w:rPr>
              <w:t>71           Если существует определенное отношение хеджирования между инструментом хеджирования и хеджируемой статьей, как описано в параграфах 85-88 и параграфах AG102-AG104 приложения А, то учет дохода или убытка по инструменту хеджирования и хеджируемой статье ведется в соответствии с параграфами 89-102.</w:t>
            </w:r>
          </w:p>
          <w:p w:rsidR="00BB1376" w:rsidRDefault="00BB1376" w:rsidP="00BB1376">
            <w:pPr>
              <w:pStyle w:val="a3"/>
              <w:jc w:val="both"/>
              <w:rPr>
                <w:color w:val="626262"/>
                <w:sz w:val="20"/>
                <w:szCs w:val="20"/>
              </w:rPr>
            </w:pPr>
            <w:r>
              <w:rPr>
                <w:color w:val="626262"/>
                <w:sz w:val="20"/>
                <w:szCs w:val="20"/>
              </w:rPr>
              <w:t>Инструменты хеджирования</w:t>
            </w:r>
          </w:p>
          <w:p w:rsidR="00BB1376" w:rsidRDefault="00BB1376" w:rsidP="00BB1376">
            <w:pPr>
              <w:pStyle w:val="a3"/>
              <w:jc w:val="both"/>
              <w:rPr>
                <w:color w:val="626262"/>
                <w:sz w:val="20"/>
                <w:szCs w:val="20"/>
              </w:rPr>
            </w:pPr>
            <w:r>
              <w:rPr>
                <w:color w:val="626262"/>
                <w:sz w:val="20"/>
                <w:szCs w:val="20"/>
              </w:rPr>
              <w:t>Инструменты, отвечающие определенным требованиям</w:t>
            </w:r>
          </w:p>
          <w:p w:rsidR="00BB1376" w:rsidRDefault="00BB1376" w:rsidP="00BB1376">
            <w:pPr>
              <w:pStyle w:val="a3"/>
              <w:jc w:val="both"/>
              <w:rPr>
                <w:color w:val="626262"/>
                <w:sz w:val="20"/>
                <w:szCs w:val="20"/>
              </w:rPr>
            </w:pPr>
            <w:r>
              <w:rPr>
                <w:color w:val="626262"/>
                <w:sz w:val="20"/>
                <w:szCs w:val="20"/>
              </w:rPr>
              <w:t>72           Настоящий стандарт не ограничивает обстоятельства, при которых производный инструмент может быть определен как инструмент хеджирования, при условии соблюдения критериев параграфа 88, за исключением некоторых выпущенных опционов (см. параграф AG94 приложения А). Однако финансовый актив или финансовое обязательство, не являющееся производным инструментом, может быть определено как инструмент хеджирования только для хеджирования валютного риска.</w:t>
            </w:r>
          </w:p>
          <w:p w:rsidR="00BB1376" w:rsidRDefault="00BB1376" w:rsidP="00BB1376">
            <w:pPr>
              <w:pStyle w:val="a3"/>
              <w:jc w:val="both"/>
              <w:rPr>
                <w:color w:val="626262"/>
                <w:sz w:val="20"/>
                <w:szCs w:val="20"/>
              </w:rPr>
            </w:pPr>
            <w:r>
              <w:rPr>
                <w:color w:val="626262"/>
                <w:sz w:val="20"/>
                <w:szCs w:val="20"/>
              </w:rPr>
              <w:t>73           Для целей учета хеджирования только инструменты с участием стороны, внешней для отчитывающегося предприятия (т.е. внешней для группы, сегмента или отдельного предприятия, по которому представляется отчетность), могут быть определены как инструменты хеджирования. Хотя отдельные предприятия в рамках группы, представляющей консолидированную отчетность, или подразделения в рамках одного предприятия могут осуществлять операции по хеджированию с другими предприятиями в рамках группы или подразделениями в рамках предприятия, такие внутригрупповые операции исключаются при консолидации. Следовательно, такие операции хеджирования не удовлетворяют критериям для учета хеджирования в консолидированной финансовой отчетности группы. Несмотря на это они могут удовлетворять критериям для учета хеджирования в индивидуальной или отдельной финансовой отчетности отдельных предприятий в рамках группы или в сегментной отчетности при условии, что они являются внешними для отдельного предприятия или сегмента, по которому представляется отчетность.</w:t>
            </w:r>
          </w:p>
          <w:p w:rsidR="00BB1376" w:rsidRDefault="00BB1376" w:rsidP="00BB1376">
            <w:pPr>
              <w:pStyle w:val="a3"/>
              <w:jc w:val="both"/>
              <w:rPr>
                <w:color w:val="626262"/>
                <w:sz w:val="20"/>
                <w:szCs w:val="20"/>
              </w:rPr>
            </w:pPr>
            <w:r>
              <w:rPr>
                <w:color w:val="626262"/>
                <w:sz w:val="20"/>
                <w:szCs w:val="20"/>
              </w:rPr>
              <w:t>Определение инструмента хеджирования</w:t>
            </w:r>
          </w:p>
          <w:p w:rsidR="00BB1376" w:rsidRDefault="00BB1376" w:rsidP="00BB1376">
            <w:pPr>
              <w:pStyle w:val="a3"/>
              <w:jc w:val="both"/>
              <w:rPr>
                <w:color w:val="626262"/>
                <w:sz w:val="20"/>
                <w:szCs w:val="20"/>
              </w:rPr>
            </w:pPr>
            <w:r>
              <w:rPr>
                <w:color w:val="626262"/>
                <w:sz w:val="20"/>
                <w:szCs w:val="20"/>
              </w:rPr>
              <w:t>74           Как правило, существует единая величина справедливой стоимости инструмента хеджирования в целом, при этом факторы, вызывающие изменения справедливой стоимости, являются взаимозависимыми. Таким образом, отношения хеджирования определяются предприятием для инструмента хеджирования в целом. Единственными разрешенными исключениями являются:</w:t>
            </w:r>
          </w:p>
          <w:p w:rsidR="00BB1376" w:rsidRDefault="00BB1376" w:rsidP="00BB1376">
            <w:pPr>
              <w:pStyle w:val="a3"/>
              <w:jc w:val="both"/>
              <w:rPr>
                <w:color w:val="626262"/>
                <w:sz w:val="20"/>
                <w:szCs w:val="20"/>
              </w:rPr>
            </w:pPr>
            <w:r>
              <w:rPr>
                <w:color w:val="626262"/>
                <w:sz w:val="20"/>
                <w:szCs w:val="20"/>
              </w:rPr>
              <w:t>(а)           разделение внутренней стоимости и временной стоимости опционного контракта и определение в качестве инструмента хеджирования только изменения во внутренней стоимости опциона, исключая изменения его временной стоимости; и</w:t>
            </w:r>
          </w:p>
          <w:p w:rsidR="00BB1376" w:rsidRDefault="00BB1376" w:rsidP="00BB1376">
            <w:pPr>
              <w:pStyle w:val="a3"/>
              <w:jc w:val="both"/>
              <w:rPr>
                <w:color w:val="626262"/>
                <w:sz w:val="20"/>
                <w:szCs w:val="20"/>
              </w:rPr>
            </w:pPr>
            <w:r>
              <w:rPr>
                <w:color w:val="626262"/>
                <w:sz w:val="20"/>
                <w:szCs w:val="20"/>
              </w:rPr>
              <w:t>(b)           разделение процентного элемента и спот-цены форвардного контракта.</w:t>
            </w:r>
          </w:p>
          <w:p w:rsidR="00BB1376" w:rsidRDefault="00BB1376" w:rsidP="00BB1376">
            <w:pPr>
              <w:pStyle w:val="a3"/>
              <w:jc w:val="both"/>
              <w:rPr>
                <w:color w:val="626262"/>
                <w:sz w:val="20"/>
                <w:szCs w:val="20"/>
              </w:rPr>
            </w:pPr>
            <w:r>
              <w:rPr>
                <w:color w:val="626262"/>
                <w:sz w:val="20"/>
                <w:szCs w:val="20"/>
              </w:rPr>
              <w:t>Эти исключения разрешены, потому что внутренняя стоимость опциона и премия по форварду, как правило, могут быть измерены отдельно. Динамическая стратегия хеджирования, в которой оценивается и внутренняя, и временная стоимости опциона, может удовлетворять критериям для учета хеджирования.</w:t>
            </w:r>
          </w:p>
          <w:p w:rsidR="00BB1376" w:rsidRDefault="00BB1376" w:rsidP="00BB1376">
            <w:pPr>
              <w:pStyle w:val="a3"/>
              <w:jc w:val="both"/>
              <w:rPr>
                <w:color w:val="626262"/>
                <w:sz w:val="20"/>
                <w:szCs w:val="20"/>
              </w:rPr>
            </w:pPr>
            <w:r>
              <w:rPr>
                <w:color w:val="626262"/>
                <w:sz w:val="20"/>
                <w:szCs w:val="20"/>
              </w:rPr>
              <w:t xml:space="preserve">75           При отношениях хеджирования часть инструмента хеджирования, например, 50% от его номинальной стоимости, может быть определена в качестве инструмента хеджирования. Однако отношения </w:t>
            </w:r>
            <w:r>
              <w:rPr>
                <w:color w:val="626262"/>
                <w:sz w:val="20"/>
                <w:szCs w:val="20"/>
              </w:rPr>
              <w:lastRenderedPageBreak/>
              <w:t>хеджирования не могут быть определены только для части периода, в течение которого инструмент хеджирования находится в обращении.</w:t>
            </w:r>
          </w:p>
          <w:p w:rsidR="00BB1376" w:rsidRDefault="00BB1376" w:rsidP="00BB1376">
            <w:pPr>
              <w:pStyle w:val="a3"/>
              <w:jc w:val="both"/>
              <w:rPr>
                <w:color w:val="626262"/>
                <w:sz w:val="20"/>
                <w:szCs w:val="20"/>
              </w:rPr>
            </w:pPr>
            <w:r>
              <w:rPr>
                <w:color w:val="626262"/>
                <w:sz w:val="20"/>
                <w:szCs w:val="20"/>
              </w:rPr>
              <w:t>76           Один и тот же инструмент хеджирования может быть определен для хеджирования двух и более видов риска при условии, что (а) можно четко идентифицировать хеджируемые риски, (b) можно продемонстрировать эффективность хеджирования и (c) возможно обеспечить конкретное определение инструмента хеджирования и позиций по различным рискам.</w:t>
            </w:r>
          </w:p>
          <w:p w:rsidR="00BB1376" w:rsidRDefault="00BB1376" w:rsidP="00BB1376">
            <w:pPr>
              <w:pStyle w:val="a3"/>
              <w:jc w:val="both"/>
              <w:rPr>
                <w:color w:val="626262"/>
                <w:sz w:val="20"/>
                <w:szCs w:val="20"/>
              </w:rPr>
            </w:pPr>
            <w:r>
              <w:rPr>
                <w:color w:val="626262"/>
                <w:sz w:val="20"/>
                <w:szCs w:val="20"/>
              </w:rPr>
              <w:t>77           Два или более производных инструмента или их части (либо, в случае хеджирования валютного риска, два или более непроизводных инструмента или их части, либо сочетание производных и непроизводных инструментов или их частей) могут рассматриваться в сочетании и вместе определяться в качестве инструмента хеджирования, в том числе тогда, когда риск (риски), являющийся результатом некоторых производных инструментов, взаимозачитывается с рисками, возникающими от других инструментов. Однако фиксированные максимум и минимум процентной ставки или другой производный инструмент, сочетающий выпущенный и купленный опционы, не квалифицируется в качестве инструмента хеджирования, если он является на самом деле чистым выпущенным опционом (по которому получена чистая премия). Аналогичным образом, два или более инструмента (или их части) могут быть определены в качестве инструмента хеджирования только в том случае, если ни один из них не является выпущенным опционом или чистым выпущенным опционом.</w:t>
            </w:r>
          </w:p>
          <w:p w:rsidR="00BB1376" w:rsidRDefault="00BB1376" w:rsidP="00BB1376">
            <w:pPr>
              <w:pStyle w:val="a3"/>
              <w:jc w:val="both"/>
              <w:rPr>
                <w:color w:val="626262"/>
                <w:sz w:val="20"/>
                <w:szCs w:val="20"/>
              </w:rPr>
            </w:pPr>
            <w:r>
              <w:rPr>
                <w:color w:val="626262"/>
                <w:sz w:val="20"/>
                <w:szCs w:val="20"/>
              </w:rPr>
              <w:t>Хеджируемые статьи</w:t>
            </w:r>
          </w:p>
          <w:p w:rsidR="00BB1376" w:rsidRDefault="00BB1376" w:rsidP="00BB1376">
            <w:pPr>
              <w:pStyle w:val="a3"/>
              <w:jc w:val="both"/>
              <w:rPr>
                <w:color w:val="626262"/>
                <w:sz w:val="20"/>
                <w:szCs w:val="20"/>
              </w:rPr>
            </w:pPr>
            <w:r>
              <w:rPr>
                <w:color w:val="626262"/>
                <w:sz w:val="20"/>
                <w:szCs w:val="20"/>
              </w:rPr>
              <w:t>Статьи, отвечающие определенным требованиям</w:t>
            </w:r>
          </w:p>
          <w:p w:rsidR="00BB1376" w:rsidRDefault="00BB1376" w:rsidP="00BB1376">
            <w:pPr>
              <w:pStyle w:val="a3"/>
              <w:jc w:val="both"/>
              <w:rPr>
                <w:color w:val="626262"/>
                <w:sz w:val="20"/>
                <w:szCs w:val="20"/>
              </w:rPr>
            </w:pPr>
            <w:r>
              <w:rPr>
                <w:color w:val="626262"/>
                <w:sz w:val="20"/>
                <w:szCs w:val="20"/>
              </w:rPr>
              <w:t>78           Хеджируемая статья может быть признанным активом или обязательством, непризнанным твердым соглашением, весьма возможной прогнозируемой операцией или чистой инвестицией в зарубежную деятельность. Хеджируемая статья может быть (a) отдельным активом, обязательством, твердым соглашением, весьма возможной прогнозируемой операцией или чистой инвестицией в зарубежную деятельность, (b) группой активов, обязательств, твердых соглашений, весьма возможных прогнозируемых операций или чистых инвестиций в зарубежную деятельность с похожими характеристиками риска или (с) только при хеджировании портфеля процентных рисков, частью портфеля финансовых активов или финансовых обязательств, у которых общий хеджируемый риск.</w:t>
            </w:r>
          </w:p>
          <w:p w:rsidR="00BB1376" w:rsidRDefault="00BB1376" w:rsidP="00BB1376">
            <w:pPr>
              <w:pStyle w:val="a3"/>
              <w:jc w:val="both"/>
              <w:rPr>
                <w:color w:val="626262"/>
                <w:sz w:val="20"/>
                <w:szCs w:val="20"/>
              </w:rPr>
            </w:pPr>
            <w:r>
              <w:rPr>
                <w:color w:val="626262"/>
                <w:sz w:val="20"/>
                <w:szCs w:val="20"/>
              </w:rPr>
              <w:t>79           В отличие от займов и дебиторской задолженности инвестиция, удерживаемая до погашения, не может быть хеджируемой статьей в отношении риска процентной ставки или риска досрочного погашения, потому что определение инвестиции как удерживаемой до погашения требует намерения удерживать инвестицию до погашения без учета изменений в справедливой стоимости или потоках денежных средств от такой инвестиции, относимых к изменениям процентной ставки. Однако удерживаемая до погашения инвестиция может быть хеджируемой статьей в отношении рисков изменения обменных курсов валют и кредитного риска.</w:t>
            </w:r>
          </w:p>
          <w:p w:rsidR="00BB1376" w:rsidRDefault="00BB1376" w:rsidP="00BB1376">
            <w:pPr>
              <w:pStyle w:val="a3"/>
              <w:jc w:val="both"/>
              <w:rPr>
                <w:color w:val="626262"/>
                <w:sz w:val="20"/>
                <w:szCs w:val="20"/>
              </w:rPr>
            </w:pPr>
            <w:r>
              <w:rPr>
                <w:color w:val="626262"/>
                <w:sz w:val="20"/>
                <w:szCs w:val="20"/>
              </w:rPr>
              <w:t>80           Для целей учета хеджирования определять в качестве хеджируемых статей можно только активы, обязательства, твердые соглашения или весьма возможные прогнозируемые операции с участием стороны, внешней по отношению к предприятию. Отсюда следует, что учет хеджирования может применяться для операций между предприятиями или сегментами одной группы только в индивидуальной или отдельной финансовой отчетности этих предприятий или сегментов, но не в консолидированной финансовой отчетности группы. Как исключение, валютный риск по внутригрупповой монетарной статье (например, кредиторская/дебиторская задолженность между двумя дочерними предприятиями) может удовлетворять критериям хеджируемой статьи в консолидированной финансовой отчетности, если он приводит к вероятности возникновения прибыли или убытка от изменений обменных курсов валют, которые не полностью исключаются при консолидации в соответствии с МСФО (IAS) 21</w:t>
            </w:r>
            <w:r>
              <w:rPr>
                <w:rStyle w:val="apple-converted-space"/>
                <w:color w:val="626262"/>
                <w:sz w:val="20"/>
                <w:szCs w:val="20"/>
              </w:rPr>
              <w:t> </w:t>
            </w:r>
            <w:r>
              <w:rPr>
                <w:rStyle w:val="a5"/>
                <w:color w:val="626262"/>
                <w:sz w:val="20"/>
                <w:szCs w:val="20"/>
              </w:rPr>
              <w:t>«Влияние изменений обменных курсов валют»</w:t>
            </w:r>
            <w:r>
              <w:rPr>
                <w:color w:val="626262"/>
                <w:sz w:val="20"/>
                <w:szCs w:val="20"/>
              </w:rPr>
              <w:t>. Согласно МСФО (IAS) 21 прибыли и убытки от изменений обменных курсов валют по внутригрупповым монетарным статьям не полностью исключаются при консолидации, если сделка по внутригрупповой монетарной статье заключается между двумя предприятиями группы, имеющими разные функциональные валюты. Кроме того, валютный риск по весьма вероятной прогнозируемой внутригрупповой сделке может удовлетворять критериям хеджируемой статьи в консолидированной финансовой отчетности, при условии что такая сделка выражена в валюте, отличной от функциональной валюты предприятия, заключающего сделку, а валютный риск повлияет на консолидированную прибыль или консолидированный убыток.</w:t>
            </w:r>
          </w:p>
          <w:p w:rsidR="00BB1376" w:rsidRDefault="00BB1376" w:rsidP="00BB1376">
            <w:pPr>
              <w:pStyle w:val="a3"/>
              <w:jc w:val="both"/>
              <w:rPr>
                <w:color w:val="626262"/>
                <w:sz w:val="20"/>
                <w:szCs w:val="20"/>
              </w:rPr>
            </w:pPr>
            <w:r>
              <w:rPr>
                <w:color w:val="626262"/>
                <w:sz w:val="20"/>
                <w:szCs w:val="20"/>
              </w:rPr>
              <w:lastRenderedPageBreak/>
              <w:t>Определение финансовых статей в качестве хеджируемых статей</w:t>
            </w:r>
          </w:p>
          <w:p w:rsidR="00BB1376" w:rsidRDefault="00BB1376" w:rsidP="00BB1376">
            <w:pPr>
              <w:pStyle w:val="a3"/>
              <w:jc w:val="both"/>
              <w:rPr>
                <w:color w:val="626262"/>
                <w:sz w:val="20"/>
                <w:szCs w:val="20"/>
              </w:rPr>
            </w:pPr>
            <w:r>
              <w:rPr>
                <w:color w:val="626262"/>
                <w:sz w:val="20"/>
                <w:szCs w:val="20"/>
              </w:rPr>
              <w:t>81           Если хеджируемой статьей является финансовый актив или финансовое обязательство, эта статья может являться хеджируемой по отношению к рискам, связанным только с частью ее потоков денежных средств или справедливой стоимости (например, один или более выделенных потоков денежных средств по договору или их частей, или определенный процент от справедливой стоимости), при условии, что эффективность может быть измерена. Например, определимая и отдельно измеримая часть риска процентной ставки по процентному активу или обязательству может быть определена как хеджируемый риск (например, компонент безрисковой или базовой процентной ставки в общем риске процентной ставки по хеджируемому финансовому инструменту).</w:t>
            </w:r>
          </w:p>
          <w:p w:rsidR="00BB1376" w:rsidRDefault="00BB1376" w:rsidP="00BB1376">
            <w:pPr>
              <w:pStyle w:val="a3"/>
              <w:jc w:val="both"/>
              <w:rPr>
                <w:color w:val="626262"/>
                <w:sz w:val="20"/>
                <w:szCs w:val="20"/>
              </w:rPr>
            </w:pPr>
            <w:r>
              <w:rPr>
                <w:color w:val="626262"/>
                <w:sz w:val="20"/>
                <w:szCs w:val="20"/>
              </w:rPr>
              <w:t>81A        При хеджировании справедливой стоимости от воздействия изменений процентной ставки на портфель финансовых активов или финансовых обязательств (и только при таком хеджировании) хеджируемая часть может быть определена в качестве денежной величины (например, как сумма в долларах, евро, фунтах или рэндах), а не в качестве отдельных активов (или обязательств). Несмотря на то, что для целей управления рисками портфель может включать активы и обязательства, определенная для хеджирования величина равна сумме активов или сумме обязательств. Определять для хеджирования чистую сумму, включая активы и обязательства, не разрешается. Предприятие может хеджировать часть процентного риска, связанного с этой определенной суммой. Например, в случае с хеджированием портфеля, который содержит активы, подлежащие предварительной оплате, предприятие может хеджировать изменение справедливой стоимости, относимое на изменение хеджируемой процентной ставки на основе ожидаемых, а не договорных, дат пересмотра ставки процента. Когда хеджируемая часть основана на ожидаемых датах пересмотра ставки процента, результат изменений хеджируемой процентной ставки на эти ожидаемые даты пересмотра ставки процента должен учитываться при определении изменения справедливой стоимости хеджируемой статьи. Соответственно, в случае хеджирования портфеля, который содержит статьи, подлежащие предварительной оплате, вместе с производным инструментом, не подлежащим предварительной оплате, возникает неэффективный результат, если сроки ожидаемой предоплаты по статьям в хеджируемом портфеле пересматриваются или фактические даты предоплаты отличаются от ожидаемых дат.</w:t>
            </w:r>
          </w:p>
          <w:p w:rsidR="00BB1376" w:rsidRDefault="00BB1376" w:rsidP="00BB1376">
            <w:pPr>
              <w:pStyle w:val="a3"/>
              <w:jc w:val="both"/>
              <w:rPr>
                <w:color w:val="626262"/>
                <w:sz w:val="20"/>
                <w:szCs w:val="20"/>
              </w:rPr>
            </w:pPr>
            <w:r>
              <w:rPr>
                <w:color w:val="626262"/>
                <w:sz w:val="20"/>
                <w:szCs w:val="20"/>
              </w:rPr>
              <w:t>Определение нефинансовых статей в качестве хеджируемых статей</w:t>
            </w:r>
          </w:p>
          <w:p w:rsidR="00BB1376" w:rsidRDefault="00BB1376" w:rsidP="00BB1376">
            <w:pPr>
              <w:pStyle w:val="a3"/>
              <w:jc w:val="both"/>
              <w:rPr>
                <w:color w:val="626262"/>
                <w:sz w:val="20"/>
                <w:szCs w:val="20"/>
              </w:rPr>
            </w:pPr>
            <w:r>
              <w:rPr>
                <w:color w:val="626262"/>
                <w:sz w:val="20"/>
                <w:szCs w:val="20"/>
              </w:rPr>
              <w:t>82           Если хеджируемой статьей является нефинансовый актив или нефинансовое обязательство, то оно определяется в качестве хеджируемой статьи (a) для валютных рисков или (b) полностью для всех рисков, так как трудно выделить и измерить соответствующую часть потоков денежных средств или изменений справедливой стоимости, которая относится к конкретным рискам, за исключением валютных.</w:t>
            </w:r>
          </w:p>
          <w:p w:rsidR="00BB1376" w:rsidRDefault="00BB1376" w:rsidP="00BB1376">
            <w:pPr>
              <w:pStyle w:val="a3"/>
              <w:jc w:val="both"/>
              <w:rPr>
                <w:color w:val="626262"/>
                <w:sz w:val="20"/>
                <w:szCs w:val="20"/>
              </w:rPr>
            </w:pPr>
            <w:r>
              <w:rPr>
                <w:color w:val="626262"/>
                <w:sz w:val="20"/>
                <w:szCs w:val="20"/>
              </w:rPr>
              <w:t>Определение групп статей в качестве хеджируемых статей</w:t>
            </w:r>
          </w:p>
          <w:p w:rsidR="00BB1376" w:rsidRDefault="00BB1376" w:rsidP="00BB1376">
            <w:pPr>
              <w:pStyle w:val="a3"/>
              <w:jc w:val="both"/>
              <w:rPr>
                <w:color w:val="626262"/>
                <w:sz w:val="20"/>
                <w:szCs w:val="20"/>
              </w:rPr>
            </w:pPr>
            <w:r>
              <w:rPr>
                <w:color w:val="626262"/>
                <w:sz w:val="20"/>
                <w:szCs w:val="20"/>
              </w:rPr>
              <w:t>83           Аналогичные активы или обязательства должны объединяться и хеджироваться как группа, только если каждый отдельный актив или обязательство в группе подвергаются воздействию риска, который определен как подлежащий хеджированию. При этом ожидается, что изменение справедливой стоимости, связанное с хеджируемым риском для каждой отдельной статьи в группе, будет примерно пропорционально общему изменению справедливой стоимости, относимому к хеджируемому риску, по группе статей.</w:t>
            </w:r>
          </w:p>
          <w:p w:rsidR="00BB1376" w:rsidRDefault="00BB1376" w:rsidP="00BB1376">
            <w:pPr>
              <w:pStyle w:val="a3"/>
              <w:jc w:val="both"/>
              <w:rPr>
                <w:color w:val="626262"/>
                <w:sz w:val="20"/>
                <w:szCs w:val="20"/>
              </w:rPr>
            </w:pPr>
            <w:r>
              <w:rPr>
                <w:color w:val="626262"/>
                <w:sz w:val="20"/>
                <w:szCs w:val="20"/>
              </w:rPr>
              <w:t>84           Так как предприятие оценивает эффективность хеджирования путем сравнения изменения справедливой стоимости или потока денежных средств по инструменту хеджирования (или группы аналогичных инструментов хеджирования) и хеджируемой статье (или группы аналогичных хеджируемых статей), сравнение инструмента хеджирования с общей нетто-позицией (например, нетто по всем активам и обязательствам с фиксированной ставкой процента и аналогичными сроками погашения), а не с конкретной хеджируемой статьей, не удовлетворяет требованиям для учета хеджирования.</w:t>
            </w:r>
          </w:p>
          <w:p w:rsidR="00BB1376" w:rsidRDefault="00BB1376" w:rsidP="00BB1376">
            <w:pPr>
              <w:pStyle w:val="a3"/>
              <w:jc w:val="both"/>
              <w:rPr>
                <w:color w:val="626262"/>
                <w:sz w:val="20"/>
                <w:szCs w:val="20"/>
              </w:rPr>
            </w:pPr>
            <w:r>
              <w:rPr>
                <w:color w:val="626262"/>
                <w:sz w:val="20"/>
                <w:szCs w:val="20"/>
              </w:rPr>
              <w:t>Учет хеджирования</w:t>
            </w:r>
          </w:p>
          <w:p w:rsidR="00BB1376" w:rsidRDefault="00BB1376" w:rsidP="00BB1376">
            <w:pPr>
              <w:pStyle w:val="a3"/>
              <w:jc w:val="both"/>
              <w:rPr>
                <w:color w:val="626262"/>
                <w:sz w:val="20"/>
                <w:szCs w:val="20"/>
              </w:rPr>
            </w:pPr>
            <w:r>
              <w:rPr>
                <w:color w:val="626262"/>
                <w:sz w:val="20"/>
                <w:szCs w:val="20"/>
              </w:rPr>
              <w:t>85           При учете хеджирования в составе прибыли или убытка признаются результаты взаимозачета изменений в справедливой стоимости инструмента хеджирования и хеджируемой статьи.</w:t>
            </w:r>
          </w:p>
          <w:p w:rsidR="00BB1376" w:rsidRDefault="00BB1376" w:rsidP="00BB1376">
            <w:pPr>
              <w:pStyle w:val="a3"/>
              <w:jc w:val="both"/>
              <w:rPr>
                <w:color w:val="626262"/>
                <w:sz w:val="20"/>
                <w:szCs w:val="20"/>
              </w:rPr>
            </w:pPr>
            <w:r>
              <w:rPr>
                <w:color w:val="626262"/>
                <w:sz w:val="20"/>
                <w:szCs w:val="20"/>
              </w:rPr>
              <w:t>86           Существует три вида отношений хеджирования:</w:t>
            </w:r>
          </w:p>
          <w:p w:rsidR="00BB1376" w:rsidRDefault="00BB1376" w:rsidP="00BB1376">
            <w:pPr>
              <w:pStyle w:val="a3"/>
              <w:jc w:val="both"/>
              <w:rPr>
                <w:color w:val="626262"/>
                <w:sz w:val="20"/>
                <w:szCs w:val="20"/>
              </w:rPr>
            </w:pPr>
            <w:r>
              <w:rPr>
                <w:color w:val="626262"/>
                <w:sz w:val="20"/>
                <w:szCs w:val="20"/>
              </w:rPr>
              <w:t>(а)          </w:t>
            </w:r>
            <w:r>
              <w:rPr>
                <w:rStyle w:val="apple-converted-space"/>
                <w:color w:val="626262"/>
                <w:sz w:val="20"/>
                <w:szCs w:val="20"/>
              </w:rPr>
              <w:t> </w:t>
            </w:r>
            <w:r>
              <w:rPr>
                <w:rStyle w:val="a5"/>
                <w:color w:val="626262"/>
                <w:sz w:val="20"/>
                <w:szCs w:val="20"/>
              </w:rPr>
              <w:t>хеджирование справедливой стоимости</w:t>
            </w:r>
            <w:r>
              <w:rPr>
                <w:color w:val="626262"/>
                <w:sz w:val="20"/>
                <w:szCs w:val="20"/>
              </w:rPr>
              <w:t xml:space="preserve">: хеджирование подверженности риску изменения </w:t>
            </w:r>
            <w:r>
              <w:rPr>
                <w:color w:val="626262"/>
                <w:sz w:val="20"/>
                <w:szCs w:val="20"/>
              </w:rPr>
              <w:lastRenderedPageBreak/>
              <w:t>справедливой стоимости признанного актива или обязательства или непризнанного твердого соглашения, или идентифицированной части такого актива, обязательства или твердого соглашения, которое связано с конкретным риском и модет оказать влияние на финансовый результат.</w:t>
            </w:r>
          </w:p>
          <w:p w:rsidR="00BB1376" w:rsidRDefault="00BB1376" w:rsidP="00BB1376">
            <w:pPr>
              <w:pStyle w:val="a3"/>
              <w:jc w:val="both"/>
              <w:rPr>
                <w:color w:val="626262"/>
                <w:sz w:val="20"/>
                <w:szCs w:val="20"/>
              </w:rPr>
            </w:pPr>
            <w:r>
              <w:rPr>
                <w:color w:val="626262"/>
                <w:sz w:val="20"/>
                <w:szCs w:val="20"/>
              </w:rPr>
              <w:t>(b)          </w:t>
            </w:r>
            <w:r>
              <w:rPr>
                <w:rStyle w:val="apple-converted-space"/>
                <w:color w:val="626262"/>
                <w:sz w:val="20"/>
                <w:szCs w:val="20"/>
              </w:rPr>
              <w:t> </w:t>
            </w:r>
            <w:r>
              <w:rPr>
                <w:rStyle w:val="a5"/>
                <w:color w:val="626262"/>
                <w:sz w:val="20"/>
                <w:szCs w:val="20"/>
              </w:rPr>
              <w:t>хеджирование потоков денежных средств</w:t>
            </w:r>
            <w:r>
              <w:rPr>
                <w:color w:val="626262"/>
                <w:sz w:val="20"/>
                <w:szCs w:val="20"/>
              </w:rPr>
              <w:t>: хеджирование подверженности риску изменений движения денежных средств, которые (i) связаны с отдельным риском, имеющим отношение к признанному активу или обязательству (например, всем или некоторым будущим процентным выплатам по долгу по переменной ставке процента), или вероятной будущей операцией и  (ii) могут оказать влияние на финансовый результат.</w:t>
            </w:r>
          </w:p>
          <w:p w:rsidR="00BB1376" w:rsidRDefault="00BB1376" w:rsidP="00BB1376">
            <w:pPr>
              <w:pStyle w:val="a3"/>
              <w:jc w:val="both"/>
              <w:rPr>
                <w:color w:val="626262"/>
                <w:sz w:val="20"/>
                <w:szCs w:val="20"/>
              </w:rPr>
            </w:pPr>
            <w:r>
              <w:rPr>
                <w:color w:val="626262"/>
                <w:sz w:val="20"/>
                <w:szCs w:val="20"/>
              </w:rPr>
              <w:t>(c)          </w:t>
            </w:r>
            <w:r>
              <w:rPr>
                <w:rStyle w:val="apple-converted-space"/>
                <w:color w:val="626262"/>
                <w:sz w:val="20"/>
                <w:szCs w:val="20"/>
              </w:rPr>
              <w:t> </w:t>
            </w:r>
            <w:r>
              <w:rPr>
                <w:rStyle w:val="a5"/>
                <w:color w:val="626262"/>
                <w:sz w:val="20"/>
                <w:szCs w:val="20"/>
              </w:rPr>
              <w:t>хеджирование чистых инвестиций в иностранные компании</w:t>
            </w:r>
            <w:r>
              <w:rPr>
                <w:rStyle w:val="apple-converted-space"/>
                <w:color w:val="626262"/>
                <w:sz w:val="20"/>
                <w:szCs w:val="20"/>
              </w:rPr>
              <w:t> </w:t>
            </w:r>
            <w:r>
              <w:rPr>
                <w:color w:val="626262"/>
                <w:sz w:val="20"/>
                <w:szCs w:val="20"/>
              </w:rPr>
              <w:t>в соответствии с определением МСФО (IAS) 21.</w:t>
            </w:r>
          </w:p>
          <w:p w:rsidR="00BB1376" w:rsidRDefault="00BB1376" w:rsidP="00BB1376">
            <w:pPr>
              <w:pStyle w:val="a3"/>
              <w:jc w:val="both"/>
              <w:rPr>
                <w:color w:val="626262"/>
                <w:sz w:val="20"/>
                <w:szCs w:val="20"/>
              </w:rPr>
            </w:pPr>
            <w:r>
              <w:rPr>
                <w:color w:val="626262"/>
                <w:sz w:val="20"/>
                <w:szCs w:val="20"/>
              </w:rPr>
              <w:t>87           Хеджирование валютного риска твердого соглашения может учитываться как хеджирование справедливой стоимости или хеджирование движения денежных средств.</w:t>
            </w:r>
          </w:p>
          <w:p w:rsidR="00BB1376" w:rsidRDefault="00BB1376" w:rsidP="00BB1376">
            <w:pPr>
              <w:pStyle w:val="a3"/>
              <w:jc w:val="both"/>
              <w:rPr>
                <w:color w:val="626262"/>
                <w:sz w:val="20"/>
                <w:szCs w:val="20"/>
              </w:rPr>
            </w:pPr>
            <w:r>
              <w:rPr>
                <w:color w:val="626262"/>
                <w:sz w:val="20"/>
                <w:szCs w:val="20"/>
              </w:rPr>
              <w:t>88           Отношения хеджирования соответствуют критериям учета хеджирования в соответствии с параграфами  89-102, если и только если выполняются все следующие условия.</w:t>
            </w:r>
          </w:p>
          <w:p w:rsidR="00BB1376" w:rsidRDefault="00BB1376" w:rsidP="00BB1376">
            <w:pPr>
              <w:pStyle w:val="a3"/>
              <w:jc w:val="both"/>
              <w:rPr>
                <w:color w:val="626262"/>
                <w:sz w:val="20"/>
                <w:szCs w:val="20"/>
              </w:rPr>
            </w:pPr>
            <w:r>
              <w:rPr>
                <w:color w:val="626262"/>
                <w:sz w:val="20"/>
                <w:szCs w:val="20"/>
              </w:rPr>
              <w:t>(а)           В начале хеджирования формально определяются и документируются отношения хеджирования и цели предприятия в отношении управления риском, а также стратегия хеджирования. Необходимые документы включают определение инструмента хеджирования, хеджируемой статьи или операции, характера хеджируемого риска и способа оценки предприятием эффективности хеджирования для компенсации подверженности риску изменений справедливой стоимости хеджируемой статьи или денежных потоков в связи с хеджируемым риском.</w:t>
            </w:r>
          </w:p>
          <w:p w:rsidR="00BB1376" w:rsidRDefault="00BB1376" w:rsidP="00BB1376">
            <w:pPr>
              <w:pStyle w:val="a3"/>
              <w:jc w:val="both"/>
              <w:rPr>
                <w:color w:val="626262"/>
                <w:sz w:val="20"/>
                <w:szCs w:val="20"/>
              </w:rPr>
            </w:pPr>
            <w:r>
              <w:rPr>
                <w:color w:val="626262"/>
                <w:sz w:val="20"/>
                <w:szCs w:val="20"/>
              </w:rPr>
              <w:t>(b)           Ожидается, что хеджирование будет высокоэффективным (см. параграфы AG105-AG113 приложения А) в отношении компенсации изменений справедливой стоимости или денежных потоков в связи с хеджируемым риском в соответствии с первоначально задокументированной стратегией управления риском для соответствующего отношения хеджирования.</w:t>
            </w:r>
          </w:p>
          <w:p w:rsidR="00BB1376" w:rsidRDefault="00BB1376" w:rsidP="00BB1376">
            <w:pPr>
              <w:pStyle w:val="a3"/>
              <w:jc w:val="both"/>
              <w:rPr>
                <w:color w:val="626262"/>
                <w:sz w:val="20"/>
                <w:szCs w:val="20"/>
              </w:rPr>
            </w:pPr>
            <w:r>
              <w:rPr>
                <w:color w:val="626262"/>
                <w:sz w:val="20"/>
                <w:szCs w:val="20"/>
              </w:rPr>
              <w:t>(c)           В случае хеджирования движения денежных средств вероятность хеджируемых будущих операций должна быть высокой, и такие будущие операции должны приводить к возникновению подверженности риску изменений денежных потоков, которые могут повлиять на финансовый результат.</w:t>
            </w:r>
          </w:p>
          <w:p w:rsidR="00BB1376" w:rsidRDefault="00BB1376" w:rsidP="00BB1376">
            <w:pPr>
              <w:pStyle w:val="a3"/>
              <w:jc w:val="both"/>
              <w:rPr>
                <w:color w:val="626262"/>
                <w:sz w:val="20"/>
                <w:szCs w:val="20"/>
              </w:rPr>
            </w:pPr>
            <w:r>
              <w:rPr>
                <w:color w:val="626262"/>
                <w:sz w:val="20"/>
                <w:szCs w:val="20"/>
              </w:rPr>
              <w:t>(d)           Эффективность хеджирования может быть надежно измерена, т.е. справедливая стоимость или денежные потоки хеджируемой статьи и справедливая стоимость инструмента хеджирования могут быть надежно измерены (рекомендации по определению справедливой стоимости представлены в параграфах 46 и 47 и параграфах AG80 и AG81 приложения А).</w:t>
            </w:r>
          </w:p>
          <w:p w:rsidR="00BB1376" w:rsidRDefault="00BB1376" w:rsidP="00BB1376">
            <w:pPr>
              <w:pStyle w:val="a3"/>
              <w:jc w:val="both"/>
              <w:rPr>
                <w:color w:val="626262"/>
                <w:sz w:val="20"/>
                <w:szCs w:val="20"/>
              </w:rPr>
            </w:pPr>
            <w:r>
              <w:rPr>
                <w:color w:val="626262"/>
                <w:sz w:val="20"/>
                <w:szCs w:val="20"/>
              </w:rPr>
              <w:t>(e)           Хеджирование оценивается на постоянной основе, и эффективность хеджирования оценивается по всем отчетным периодам, для которых определяется хеджирование.</w:t>
            </w:r>
          </w:p>
          <w:p w:rsidR="00BB1376" w:rsidRDefault="00BB1376" w:rsidP="00BB1376">
            <w:pPr>
              <w:pStyle w:val="a3"/>
              <w:jc w:val="both"/>
              <w:rPr>
                <w:color w:val="626262"/>
                <w:sz w:val="20"/>
                <w:szCs w:val="20"/>
              </w:rPr>
            </w:pPr>
            <w:r>
              <w:rPr>
                <w:color w:val="626262"/>
                <w:sz w:val="20"/>
                <w:szCs w:val="20"/>
              </w:rPr>
              <w:t>Хеджирование справедливой стоимости</w:t>
            </w:r>
          </w:p>
          <w:p w:rsidR="00BB1376" w:rsidRDefault="00BB1376" w:rsidP="00BB1376">
            <w:pPr>
              <w:pStyle w:val="a3"/>
              <w:jc w:val="both"/>
              <w:rPr>
                <w:color w:val="626262"/>
                <w:sz w:val="20"/>
                <w:szCs w:val="20"/>
              </w:rPr>
            </w:pPr>
            <w:r>
              <w:rPr>
                <w:color w:val="626262"/>
                <w:sz w:val="20"/>
                <w:szCs w:val="20"/>
              </w:rPr>
              <w:t>89           Если в течение периода хеджирование справедливой стоимости удовлетворяет условиям параграфа 88, его необходимо учитывать следующим образом:</w:t>
            </w:r>
          </w:p>
          <w:p w:rsidR="00BB1376" w:rsidRDefault="00BB1376" w:rsidP="00BB1376">
            <w:pPr>
              <w:pStyle w:val="a3"/>
              <w:jc w:val="both"/>
              <w:rPr>
                <w:color w:val="626262"/>
                <w:sz w:val="20"/>
                <w:szCs w:val="20"/>
              </w:rPr>
            </w:pPr>
            <w:r>
              <w:rPr>
                <w:color w:val="626262"/>
                <w:sz w:val="20"/>
                <w:szCs w:val="20"/>
              </w:rPr>
              <w:t>(а)           доход или убыток от переоценки инструмента хеджирования по справедливой стоимости (для производного инструмента хеджирования) или валютной составляющей его балансовой стоимости, измеренной в соответствии с МСФО (IAS) 21 (для непроизводного инструмента хеджирования) признается в составе прибыли или убытка; и</w:t>
            </w:r>
          </w:p>
          <w:p w:rsidR="00BB1376" w:rsidRDefault="00BB1376" w:rsidP="00BB1376">
            <w:pPr>
              <w:pStyle w:val="a3"/>
              <w:jc w:val="both"/>
              <w:rPr>
                <w:color w:val="626262"/>
                <w:sz w:val="20"/>
                <w:szCs w:val="20"/>
              </w:rPr>
            </w:pPr>
            <w:r>
              <w:rPr>
                <w:color w:val="626262"/>
                <w:sz w:val="20"/>
                <w:szCs w:val="20"/>
              </w:rPr>
              <w:t>(b)           доход или убыток по хеджируемой статье, связанный с хеджируемым риском, корректирует балансовую стоимость хеджируемой статьи и признается в составе прибыли или убытка. Этот метод применяется, если хеджируемая статья измеряется по фактическим затратам. Признание дохода или убытка, связанного с хеджируемым риском, в составе прибыли или убытка применяется, если хеджируемая статья является финансовым активом, имеющимся в наличии для продажи.</w:t>
            </w:r>
          </w:p>
          <w:p w:rsidR="00BB1376" w:rsidRDefault="00BB1376" w:rsidP="00BB1376">
            <w:pPr>
              <w:pStyle w:val="a3"/>
              <w:jc w:val="both"/>
              <w:rPr>
                <w:color w:val="626262"/>
                <w:sz w:val="20"/>
                <w:szCs w:val="20"/>
              </w:rPr>
            </w:pPr>
            <w:r>
              <w:rPr>
                <w:color w:val="626262"/>
                <w:sz w:val="20"/>
                <w:szCs w:val="20"/>
              </w:rPr>
              <w:t xml:space="preserve">89A        При хеджировании справедливой стоимости части портфеля финансовых активов или финансовых </w:t>
            </w:r>
            <w:r>
              <w:rPr>
                <w:color w:val="626262"/>
                <w:sz w:val="20"/>
                <w:szCs w:val="20"/>
              </w:rPr>
              <w:lastRenderedPageBreak/>
              <w:t>обязательств от воздействия изменений процентной ставки (и только при таком хеджировании) может быть удовлетворено требование параграфа 89(b) путем представления прибыли или убытка, относимого на хеджируемую статью:</w:t>
            </w:r>
          </w:p>
          <w:p w:rsidR="00BB1376" w:rsidRDefault="00BB1376" w:rsidP="00BB1376">
            <w:pPr>
              <w:pStyle w:val="a3"/>
              <w:jc w:val="both"/>
              <w:rPr>
                <w:color w:val="626262"/>
                <w:sz w:val="20"/>
                <w:szCs w:val="20"/>
              </w:rPr>
            </w:pPr>
            <w:r>
              <w:rPr>
                <w:color w:val="626262"/>
                <w:sz w:val="20"/>
                <w:szCs w:val="20"/>
              </w:rPr>
              <w:t>(а)           отдельной статьей в составе активов для тех временных периодов пересмотра ставки процента, в которых хеджируемая статья является активом; либо</w:t>
            </w:r>
          </w:p>
          <w:p w:rsidR="00BB1376" w:rsidRDefault="00BB1376" w:rsidP="00BB1376">
            <w:pPr>
              <w:pStyle w:val="a3"/>
              <w:jc w:val="both"/>
              <w:rPr>
                <w:color w:val="626262"/>
                <w:sz w:val="20"/>
                <w:szCs w:val="20"/>
              </w:rPr>
            </w:pPr>
            <w:r>
              <w:rPr>
                <w:color w:val="626262"/>
                <w:sz w:val="20"/>
                <w:szCs w:val="20"/>
              </w:rPr>
              <w:t>(b)           отдельной статьей в составе обязательств для тех временных периодов пересмотра ставки процента, в которых хеджируемая статья является обязательством.</w:t>
            </w:r>
          </w:p>
          <w:p w:rsidR="00BB1376" w:rsidRDefault="00BB1376" w:rsidP="00BB1376">
            <w:pPr>
              <w:pStyle w:val="a3"/>
              <w:jc w:val="both"/>
              <w:rPr>
                <w:color w:val="626262"/>
                <w:sz w:val="20"/>
                <w:szCs w:val="20"/>
              </w:rPr>
            </w:pPr>
            <w:r>
              <w:rPr>
                <w:color w:val="626262"/>
                <w:sz w:val="20"/>
                <w:szCs w:val="20"/>
              </w:rPr>
              <w:t>Отдельные статьи, указанные в пунктах (a) и (b), должны представляться сразу за финансовыми активами или финансовыми обязательствами. Суммы, включенные в эти статьи, должны быть исключены из баланса в момент прекращения признания активов или обязательств, к которым они относятся.</w:t>
            </w:r>
          </w:p>
          <w:p w:rsidR="00BB1376" w:rsidRDefault="00BB1376" w:rsidP="00BB1376">
            <w:pPr>
              <w:pStyle w:val="a3"/>
              <w:jc w:val="both"/>
              <w:rPr>
                <w:color w:val="626262"/>
                <w:sz w:val="20"/>
                <w:szCs w:val="20"/>
              </w:rPr>
            </w:pPr>
            <w:r>
              <w:rPr>
                <w:color w:val="626262"/>
                <w:sz w:val="20"/>
                <w:szCs w:val="20"/>
              </w:rPr>
              <w:t>90           Если хеджируются только конкретные риски, связанные с хеджируемой статьей, то признанные изменения справедливой стоимости хеджируемой статьи, не относящиеся к хеджируемому риску, признаются в соответствии с параграфом 55.</w:t>
            </w:r>
          </w:p>
          <w:p w:rsidR="00BB1376" w:rsidRDefault="00BB1376" w:rsidP="00BB1376">
            <w:pPr>
              <w:pStyle w:val="a3"/>
              <w:jc w:val="both"/>
              <w:rPr>
                <w:color w:val="626262"/>
                <w:sz w:val="20"/>
                <w:szCs w:val="20"/>
              </w:rPr>
            </w:pPr>
            <w:r>
              <w:rPr>
                <w:color w:val="626262"/>
                <w:sz w:val="20"/>
                <w:szCs w:val="20"/>
              </w:rPr>
              <w:t>91           Предприятие должно перспективно прекратить учет хеджирования, установленный в параграфе 89, если</w:t>
            </w:r>
          </w:p>
          <w:p w:rsidR="00BB1376" w:rsidRDefault="00BB1376" w:rsidP="00BB1376">
            <w:pPr>
              <w:pStyle w:val="a3"/>
              <w:jc w:val="both"/>
              <w:rPr>
                <w:color w:val="626262"/>
                <w:sz w:val="20"/>
                <w:szCs w:val="20"/>
              </w:rPr>
            </w:pPr>
            <w:r>
              <w:rPr>
                <w:color w:val="626262"/>
                <w:sz w:val="20"/>
                <w:szCs w:val="20"/>
              </w:rPr>
              <w:t>(а)           срок инструмента хеджирования истек, либо инструмент продан или исполнен (для этих целей замена или продление инструмента хеджирования другим инструментом хеджирования не является истечением или прекращением срока действия, если такая замена или продление является частью документированной стратегии хеджирования предприятия);</w:t>
            </w:r>
          </w:p>
          <w:p w:rsidR="00BB1376" w:rsidRDefault="00BB1376" w:rsidP="00BB1376">
            <w:pPr>
              <w:pStyle w:val="a3"/>
              <w:jc w:val="both"/>
              <w:rPr>
                <w:color w:val="626262"/>
                <w:sz w:val="20"/>
                <w:szCs w:val="20"/>
              </w:rPr>
            </w:pPr>
            <w:r>
              <w:rPr>
                <w:color w:val="626262"/>
                <w:sz w:val="20"/>
                <w:szCs w:val="20"/>
              </w:rPr>
              <w:t>(b)           хеджирование больше не удовлетворяет критериям учета хеджирования, описанным в параграфе 88; или</w:t>
            </w:r>
          </w:p>
          <w:p w:rsidR="00BB1376" w:rsidRDefault="00BB1376" w:rsidP="00BB1376">
            <w:pPr>
              <w:pStyle w:val="a3"/>
              <w:jc w:val="both"/>
              <w:rPr>
                <w:color w:val="626262"/>
                <w:sz w:val="20"/>
                <w:szCs w:val="20"/>
              </w:rPr>
            </w:pPr>
            <w:r>
              <w:rPr>
                <w:color w:val="626262"/>
                <w:sz w:val="20"/>
                <w:szCs w:val="20"/>
              </w:rPr>
              <w:t>(c)           предприятие отменяет определение хеджирования.</w:t>
            </w:r>
          </w:p>
          <w:p w:rsidR="00BB1376" w:rsidRDefault="00BB1376" w:rsidP="00BB1376">
            <w:pPr>
              <w:pStyle w:val="a3"/>
              <w:jc w:val="both"/>
              <w:rPr>
                <w:color w:val="626262"/>
                <w:sz w:val="20"/>
                <w:szCs w:val="20"/>
              </w:rPr>
            </w:pPr>
            <w:r>
              <w:rPr>
                <w:color w:val="626262"/>
                <w:sz w:val="20"/>
                <w:szCs w:val="20"/>
              </w:rPr>
              <w:t>92           Любая возникающая из параграфа 89(b) корректировка балансовой стоимости хеджируемого финансового инструмента, для которого используется метод эффективной процентной ставки (либо, в случае с хеджированием портфеля процентных рисков, отдельной статьи баланса, описанной в параграфе 89А), должна амортизироваться на прибыль или убыток. Предприятие может начать амортизировать корректировку как только она возникнет, но не позже момента, когда оно прекратит корректировать хеджируемую статью на величину изменений ее справедливой стоимости, относящихся к хеджируемому риску. Корректировка основывается на пересчитанной эффективной ставке процента на дату начала амортизации. Однако если в случае хеджирования справедливой стоимости портфеля финансовых активов или финансовых обязательств от воздействия изменений процентной ставки (и только при таком хеджировании) амортизация с использованием пересчитанной эффективной ставки процента представляется практически неосуществимой, то корректировка должна амортизироваться по прямолинейному методу. Корректировка должна быть полностью амортизирована к сроку погашения финансового инструмента или, в случае с хеджированием портфеля процентных рисков, до истечения соответствующего периода пересмотра ставки процента.</w:t>
            </w:r>
          </w:p>
          <w:p w:rsidR="00BB1376" w:rsidRDefault="00BB1376" w:rsidP="00BB1376">
            <w:pPr>
              <w:pStyle w:val="a3"/>
              <w:jc w:val="both"/>
              <w:rPr>
                <w:color w:val="626262"/>
                <w:sz w:val="20"/>
                <w:szCs w:val="20"/>
              </w:rPr>
            </w:pPr>
            <w:r>
              <w:rPr>
                <w:color w:val="626262"/>
                <w:sz w:val="20"/>
                <w:szCs w:val="20"/>
              </w:rPr>
              <w:t>93           Если непризнанное твердое соглашение определяется в качестве хеджируемой статьи, то последующее накопленное изменение справедливой стоимости твердого соглашения, связанного с хеджируемым риском, признается как актив или обязательство с соответствующим доходом или убытком, признанным в составе прибыли или убытка (см. параграф 89(b)). Изменения в справедливой стоимости инструмента хеджирования также признаются в составе прибыли или убытка.</w:t>
            </w:r>
          </w:p>
          <w:p w:rsidR="00BB1376" w:rsidRDefault="00BB1376" w:rsidP="00BB1376">
            <w:pPr>
              <w:pStyle w:val="a3"/>
              <w:jc w:val="both"/>
              <w:rPr>
                <w:color w:val="626262"/>
                <w:sz w:val="20"/>
                <w:szCs w:val="20"/>
              </w:rPr>
            </w:pPr>
            <w:r>
              <w:rPr>
                <w:color w:val="626262"/>
                <w:sz w:val="20"/>
                <w:szCs w:val="20"/>
              </w:rPr>
              <w:t>94           Если предприятие заключает твердое соглашение, являющееся хеджируемой статьей при хеджировании справедливой стоимости, приобрести актив или принять на себя обязательство, то первоначальная балансовая стоимость актива или обязательства, возникших в результате выполнения предприятием твердого соглашения, корректируется, чтобы включить накопленное изменение справедливой стоимости твердого соглашения, связанное с хеджируемым риском, которое было признано в балансе.</w:t>
            </w:r>
          </w:p>
          <w:p w:rsidR="00BB1376" w:rsidRDefault="00BB1376" w:rsidP="00BB1376">
            <w:pPr>
              <w:pStyle w:val="a3"/>
              <w:jc w:val="both"/>
              <w:rPr>
                <w:color w:val="626262"/>
                <w:sz w:val="20"/>
                <w:szCs w:val="20"/>
              </w:rPr>
            </w:pPr>
            <w:r>
              <w:rPr>
                <w:color w:val="626262"/>
                <w:sz w:val="20"/>
                <w:szCs w:val="20"/>
              </w:rPr>
              <w:t>Хеджирование движения денежных средств</w:t>
            </w:r>
          </w:p>
          <w:p w:rsidR="00BB1376" w:rsidRDefault="00BB1376" w:rsidP="00BB1376">
            <w:pPr>
              <w:pStyle w:val="a3"/>
              <w:jc w:val="both"/>
              <w:rPr>
                <w:color w:val="626262"/>
                <w:sz w:val="20"/>
                <w:szCs w:val="20"/>
              </w:rPr>
            </w:pPr>
            <w:r>
              <w:rPr>
                <w:color w:val="626262"/>
                <w:sz w:val="20"/>
                <w:szCs w:val="20"/>
              </w:rPr>
              <w:lastRenderedPageBreak/>
              <w:t>95           Если в течение периода хеджирование движения денежных средств удовлетворяет условиям параграфа 88, то его необходимо учитывать следующим образом:</w:t>
            </w:r>
          </w:p>
          <w:p w:rsidR="00BB1376" w:rsidRDefault="00BB1376" w:rsidP="00BB1376">
            <w:pPr>
              <w:pStyle w:val="a3"/>
              <w:jc w:val="both"/>
              <w:rPr>
                <w:color w:val="626262"/>
                <w:sz w:val="20"/>
                <w:szCs w:val="20"/>
              </w:rPr>
            </w:pPr>
            <w:r>
              <w:rPr>
                <w:color w:val="626262"/>
                <w:sz w:val="20"/>
                <w:szCs w:val="20"/>
              </w:rPr>
              <w:t>(а)           часть дохода или убытка от инструмента хеджирования, эффективность которого была установлена (см. параграф 88), следует признавать непосредственно в собственном капитале в отчете об изменениях в собственном капитале (см. МСФО (IAS) 1); и</w:t>
            </w:r>
          </w:p>
          <w:p w:rsidR="00BB1376" w:rsidRDefault="00BB1376" w:rsidP="00BB1376">
            <w:pPr>
              <w:pStyle w:val="a3"/>
              <w:jc w:val="both"/>
              <w:rPr>
                <w:color w:val="626262"/>
                <w:sz w:val="20"/>
                <w:szCs w:val="20"/>
              </w:rPr>
            </w:pPr>
            <w:r>
              <w:rPr>
                <w:color w:val="626262"/>
                <w:sz w:val="20"/>
                <w:szCs w:val="20"/>
              </w:rPr>
              <w:t>(b)           неэффективная часть дохода или убытка от инструмента хеджирования признается в составе прибыли или убытка.</w:t>
            </w:r>
          </w:p>
          <w:p w:rsidR="00BB1376" w:rsidRDefault="00BB1376" w:rsidP="00BB1376">
            <w:pPr>
              <w:pStyle w:val="a3"/>
              <w:jc w:val="both"/>
              <w:rPr>
                <w:color w:val="626262"/>
                <w:sz w:val="20"/>
                <w:szCs w:val="20"/>
              </w:rPr>
            </w:pPr>
            <w:r>
              <w:rPr>
                <w:color w:val="626262"/>
                <w:sz w:val="20"/>
                <w:szCs w:val="20"/>
              </w:rPr>
              <w:t>96           Если подробнее, хеджирование движения денежных средств учитывается следующим образом:</w:t>
            </w:r>
          </w:p>
          <w:p w:rsidR="00BB1376" w:rsidRDefault="00BB1376" w:rsidP="00BB1376">
            <w:pPr>
              <w:pStyle w:val="a3"/>
              <w:jc w:val="both"/>
              <w:rPr>
                <w:color w:val="626262"/>
                <w:sz w:val="20"/>
                <w:szCs w:val="20"/>
              </w:rPr>
            </w:pPr>
            <w:r>
              <w:rPr>
                <w:color w:val="626262"/>
                <w:sz w:val="20"/>
                <w:szCs w:val="20"/>
              </w:rPr>
              <w:t>(а)           отдельные компоненты собственного капитала, связанные с хеджируемой статьей, корректируются в пользу меньшей из следующих сумм (в абсолютном выражении):</w:t>
            </w:r>
          </w:p>
          <w:p w:rsidR="00BB1376" w:rsidRDefault="00BB1376" w:rsidP="00BB1376">
            <w:pPr>
              <w:pStyle w:val="a3"/>
              <w:jc w:val="both"/>
              <w:rPr>
                <w:color w:val="626262"/>
                <w:sz w:val="20"/>
                <w:szCs w:val="20"/>
              </w:rPr>
            </w:pPr>
            <w:r>
              <w:rPr>
                <w:color w:val="626262"/>
                <w:sz w:val="20"/>
                <w:szCs w:val="20"/>
              </w:rPr>
              <w:t>(i)            сумма совокупной прибыли или убытка по инструменту хеджирования, накопленная с момента начала хеджирования; и</w:t>
            </w:r>
          </w:p>
          <w:p w:rsidR="00BB1376" w:rsidRDefault="00BB1376" w:rsidP="00BB1376">
            <w:pPr>
              <w:pStyle w:val="a3"/>
              <w:jc w:val="both"/>
              <w:rPr>
                <w:color w:val="626262"/>
                <w:sz w:val="20"/>
                <w:szCs w:val="20"/>
              </w:rPr>
            </w:pPr>
            <w:r>
              <w:rPr>
                <w:color w:val="626262"/>
                <w:sz w:val="20"/>
                <w:szCs w:val="20"/>
              </w:rPr>
              <w:t>(ii)           сумма совокупного изменения справедливой стоимости (приведенной стоимости) ожидаемых будущих денежных средств хеджируемой статьи, накопленная с момента начала хеджирования;</w:t>
            </w:r>
          </w:p>
          <w:p w:rsidR="00BB1376" w:rsidRDefault="00BB1376" w:rsidP="00BB1376">
            <w:pPr>
              <w:pStyle w:val="a3"/>
              <w:jc w:val="both"/>
              <w:rPr>
                <w:color w:val="626262"/>
                <w:sz w:val="20"/>
                <w:szCs w:val="20"/>
              </w:rPr>
            </w:pPr>
            <w:r>
              <w:rPr>
                <w:color w:val="626262"/>
                <w:sz w:val="20"/>
                <w:szCs w:val="20"/>
              </w:rPr>
              <w:t>(b)           любые оставшиеся прибыли или убытки по инструменту хеджирования или определенному компоненту инструмента хеджирования (который не является эффективным хеджированием) относятся на прибыль или убыток; и</w:t>
            </w:r>
          </w:p>
          <w:p w:rsidR="00BB1376" w:rsidRDefault="00BB1376" w:rsidP="00BB1376">
            <w:pPr>
              <w:pStyle w:val="a3"/>
              <w:jc w:val="both"/>
              <w:rPr>
                <w:color w:val="626262"/>
                <w:sz w:val="20"/>
                <w:szCs w:val="20"/>
              </w:rPr>
            </w:pPr>
            <w:r>
              <w:rPr>
                <w:color w:val="626262"/>
                <w:sz w:val="20"/>
                <w:szCs w:val="20"/>
              </w:rPr>
              <w:t>(c)           если стратегия управления риском для определенного отношения хеджирования исключает из оценки эффективности хеджирования отдельную часть прибылей или убытков или связанные денежные потоки инструмента хеджирования (см. параграфы 74, 75 и 88(a)), такая исключаемая часть прибылей или убытков признается в соответствии с параграфом 55.</w:t>
            </w:r>
          </w:p>
          <w:p w:rsidR="00BB1376" w:rsidRDefault="00BB1376" w:rsidP="00BB1376">
            <w:pPr>
              <w:pStyle w:val="a3"/>
              <w:jc w:val="both"/>
              <w:rPr>
                <w:color w:val="626262"/>
                <w:sz w:val="20"/>
                <w:szCs w:val="20"/>
              </w:rPr>
            </w:pPr>
            <w:r>
              <w:rPr>
                <w:color w:val="626262"/>
                <w:sz w:val="20"/>
                <w:szCs w:val="20"/>
              </w:rPr>
              <w:t>97           Если хеджирование прогнозируемой операции впоследствии приводит к признанию финансового актива или финансового обязательства, то соответствующий доход или убыток, признанный непосредственно в собственном капитале в соответствии с параграфом 95, должен быть переклассифицирован в прибыль или убыток в том же самом периоде или периодах, в течение которых приобретенный актив или принятое обязательство влияет на прибыль или убыток (например, в периоды, когда признан доход или расход по процентам). Однако если предприятие ожидает, что весь убыток или его часть, признанная непосредственно в собственном капитале, не будет возмещена в течение одного или более будущих периодов, то оно должно переклассифицировать в прибыль или убыток сумму, возмещение которой не ожидается;</w:t>
            </w:r>
          </w:p>
          <w:p w:rsidR="00BB1376" w:rsidRDefault="00BB1376" w:rsidP="00BB1376">
            <w:pPr>
              <w:pStyle w:val="a3"/>
              <w:jc w:val="both"/>
              <w:rPr>
                <w:color w:val="626262"/>
                <w:sz w:val="20"/>
                <w:szCs w:val="20"/>
              </w:rPr>
            </w:pPr>
            <w:r>
              <w:rPr>
                <w:color w:val="626262"/>
                <w:sz w:val="20"/>
                <w:szCs w:val="20"/>
              </w:rPr>
              <w:t>98           Если хеджирование прогнозируемой операции впоследствии приводит к признанию нефинансового актива или нефинансового обязательства, или прогнозируемая операция по нефинансовому активу или нефинансовому обязательству становится твердым соглашением, для которого применяется учет хеджирования справедливой стоимости, то предприятие должно принять один из следующих пунктов (a) или (b):</w:t>
            </w:r>
          </w:p>
          <w:p w:rsidR="00BB1376" w:rsidRDefault="00BB1376" w:rsidP="00BB1376">
            <w:pPr>
              <w:pStyle w:val="a3"/>
              <w:jc w:val="both"/>
              <w:rPr>
                <w:color w:val="626262"/>
                <w:sz w:val="20"/>
                <w:szCs w:val="20"/>
              </w:rPr>
            </w:pPr>
            <w:r>
              <w:rPr>
                <w:color w:val="626262"/>
                <w:sz w:val="20"/>
                <w:szCs w:val="20"/>
              </w:rPr>
              <w:t>(а)           оно переклассифицирует соответствующие доходы или убытки, признанные непосредственно в собственном капитале в соответствии с параграфом 95, в прибыль или убыток в том же самом периоде или периодах, в течение которых приобретенный актив или принятое обязательство влияет на прибыль или убыток (например, в периоды, когда признан амортизационный расход или себестоимость продаж). Однако если предприятие ожидает, что весь убыток или его часть, признанная непосредственно в собственном капитале, не будет возмещена в течение одного или более будущих периодов, то оно должно переклассифицировать в прибыль или убыток сумму, возмещение которой не ожидается;</w:t>
            </w:r>
          </w:p>
          <w:p w:rsidR="00BB1376" w:rsidRDefault="00BB1376" w:rsidP="00BB1376">
            <w:pPr>
              <w:pStyle w:val="a3"/>
              <w:jc w:val="both"/>
              <w:rPr>
                <w:color w:val="626262"/>
                <w:sz w:val="20"/>
                <w:szCs w:val="20"/>
              </w:rPr>
            </w:pPr>
            <w:r>
              <w:rPr>
                <w:color w:val="626262"/>
                <w:sz w:val="20"/>
                <w:szCs w:val="20"/>
              </w:rPr>
              <w:t>(b)           оно исключает связанные доходы или убытки, признанные непосредственно в собственном капитале в соответствии с параграфом 95, и включает их в первоначальную стоимость или другую балансовую стоимость соответствующего актива или обязательства.</w:t>
            </w:r>
          </w:p>
          <w:p w:rsidR="00BB1376" w:rsidRDefault="00BB1376" w:rsidP="00BB1376">
            <w:pPr>
              <w:pStyle w:val="a3"/>
              <w:jc w:val="both"/>
              <w:rPr>
                <w:color w:val="626262"/>
                <w:sz w:val="20"/>
                <w:szCs w:val="20"/>
              </w:rPr>
            </w:pPr>
            <w:r>
              <w:rPr>
                <w:color w:val="626262"/>
                <w:sz w:val="20"/>
                <w:szCs w:val="20"/>
              </w:rPr>
              <w:t xml:space="preserve">99           Предприятие должно принять пункте (а) или (в) в параграфе 98 в качестве своей учетной политики </w:t>
            </w:r>
            <w:r>
              <w:rPr>
                <w:color w:val="626262"/>
                <w:sz w:val="20"/>
                <w:szCs w:val="20"/>
              </w:rPr>
              <w:lastRenderedPageBreak/>
              <w:t>и применять его последовательно ко всем операциям хеджирования, к которым относится параграф 98.</w:t>
            </w:r>
          </w:p>
          <w:p w:rsidR="00BB1376" w:rsidRDefault="00BB1376" w:rsidP="00BB1376">
            <w:pPr>
              <w:pStyle w:val="a3"/>
              <w:jc w:val="both"/>
              <w:rPr>
                <w:color w:val="626262"/>
                <w:sz w:val="20"/>
                <w:szCs w:val="20"/>
              </w:rPr>
            </w:pPr>
            <w:r>
              <w:rPr>
                <w:color w:val="626262"/>
                <w:sz w:val="20"/>
                <w:szCs w:val="20"/>
              </w:rPr>
              <w:t>100         Для хеджирования денежных потоков, кроме рассматриваемых в параграфе 97 и 98, суммы, признанные непосредственно в собственном капитале, должны признаваться в составе прибыли или убытка того же самого периода или периодов, в течение которых хеджируемая прогнозируемая операция оказывает влияние на прибыль или убыток (например, когда осуществляется прогнозируемая продажа).</w:t>
            </w:r>
          </w:p>
          <w:p w:rsidR="00BB1376" w:rsidRDefault="00BB1376" w:rsidP="00BB1376">
            <w:pPr>
              <w:pStyle w:val="a3"/>
              <w:jc w:val="both"/>
              <w:rPr>
                <w:color w:val="626262"/>
                <w:sz w:val="20"/>
                <w:szCs w:val="20"/>
              </w:rPr>
            </w:pPr>
            <w:r>
              <w:rPr>
                <w:color w:val="626262"/>
                <w:sz w:val="20"/>
                <w:szCs w:val="20"/>
              </w:rPr>
              <w:t>101         В любом из следующих случаев предприятие должно перспективно прекратить учет хеджирования, оговариваемый в параграфах 95-100:</w:t>
            </w:r>
          </w:p>
          <w:p w:rsidR="00BB1376" w:rsidRDefault="00BB1376" w:rsidP="00BB1376">
            <w:pPr>
              <w:pStyle w:val="a3"/>
              <w:jc w:val="both"/>
              <w:rPr>
                <w:color w:val="626262"/>
                <w:sz w:val="20"/>
                <w:szCs w:val="20"/>
              </w:rPr>
            </w:pPr>
            <w:r>
              <w:rPr>
                <w:color w:val="626262"/>
                <w:sz w:val="20"/>
                <w:szCs w:val="20"/>
              </w:rPr>
              <w:t>(а)           срок инструмента хеджирования истек, либо инструмент продан или исполнен (для этих целей замена или продление инструмента хеджирования другим инструментом хеджирования не является истечением или прекращением срока действия, если такая замена или продление является частью документированной стратегии хеджирования предприятия); В этом случае сумма совокупной прибыли или убытка по инструменту хеджирования, признанная в собственном капитале, начиная с периода, в котором хеджирование было эффективным (см. параграф 95(a)), остается признанной отдельной строкой в составе собственного капитала до возникновения прогнозируемой операции. После того, как производится такая прогнозируемая операция, применяются параграфы 97, 98 или 100.</w:t>
            </w:r>
          </w:p>
          <w:p w:rsidR="00BB1376" w:rsidRDefault="00BB1376" w:rsidP="00BB1376">
            <w:pPr>
              <w:pStyle w:val="a3"/>
              <w:jc w:val="both"/>
              <w:rPr>
                <w:color w:val="626262"/>
                <w:sz w:val="20"/>
                <w:szCs w:val="20"/>
              </w:rPr>
            </w:pPr>
            <w:r>
              <w:rPr>
                <w:color w:val="626262"/>
                <w:sz w:val="20"/>
                <w:szCs w:val="20"/>
              </w:rPr>
              <w:t>(b)           хеджирование больше не удовлетворяет критериям учета хеджирования, описанным в параграфе 88. В этом случае сумма совокупной прибыли или убытка по инструменту хеджирования, признанная в собственном капитале, начиная с периода, в котором хеджирование было эффективным (см. параграф 95(a)), остается признанной отдельной строкой в составе собственного капитала до возникновения прогнозируемой операции. После того, как производится такая прогнозируемая операция, применяются параграфы 97, 98 или 100.</w:t>
            </w:r>
          </w:p>
          <w:p w:rsidR="00BB1376" w:rsidRDefault="00BB1376" w:rsidP="00BB1376">
            <w:pPr>
              <w:pStyle w:val="a3"/>
              <w:jc w:val="both"/>
              <w:rPr>
                <w:color w:val="626262"/>
                <w:sz w:val="20"/>
                <w:szCs w:val="20"/>
              </w:rPr>
            </w:pPr>
            <w:r>
              <w:rPr>
                <w:color w:val="626262"/>
                <w:sz w:val="20"/>
                <w:szCs w:val="20"/>
              </w:rPr>
              <w:t>(c)           Выполнение операции больше не ожидается, и в этом случае сумма совокупной прибыли или убытка по инструменту хеджирования, признанная в составе собственного капитала, начиная с периода, в котором хеджирование было эффективным (см. параграф 95(a)), относится на прибыль или убыток. Если выполнение будущей операции больше не является высоко вероятным (см. параграф 88(c)), выполнение операции может быть ожидаемым.</w:t>
            </w:r>
          </w:p>
          <w:p w:rsidR="00BB1376" w:rsidRDefault="00BB1376" w:rsidP="00BB1376">
            <w:pPr>
              <w:pStyle w:val="a3"/>
              <w:jc w:val="both"/>
              <w:rPr>
                <w:color w:val="626262"/>
                <w:sz w:val="20"/>
                <w:szCs w:val="20"/>
              </w:rPr>
            </w:pPr>
            <w:r>
              <w:rPr>
                <w:color w:val="626262"/>
                <w:sz w:val="20"/>
                <w:szCs w:val="20"/>
              </w:rPr>
              <w:t>(d)           предприятие отменяет определение хеджирования. В случае хеджирования будущих операций, сумма совокупной прибыли или убытка по инструменту хеджирования, признанная в составе собственного капитала, начиная с периода, в котором хеджирование было эффективным (см. параграф 95(a)), остается признанной в составе собственного капитала до проведения операции или до того момента, когда проведение операции больше не ожидается. После того, как производится такая прогнозируемая операция, применяются параграфы 97, 98 или 100. Если выполнение такой операции больше не ожидается, сумма совокупной прибыли или убытка, признанная в составе собственного капитала, относится на финансовый результат.</w:t>
            </w:r>
          </w:p>
          <w:p w:rsidR="00BB1376" w:rsidRDefault="00BB1376" w:rsidP="00BB1376">
            <w:pPr>
              <w:pStyle w:val="a3"/>
              <w:jc w:val="both"/>
              <w:rPr>
                <w:color w:val="626262"/>
                <w:sz w:val="20"/>
                <w:szCs w:val="20"/>
              </w:rPr>
            </w:pPr>
            <w:r>
              <w:rPr>
                <w:color w:val="626262"/>
                <w:sz w:val="20"/>
                <w:szCs w:val="20"/>
              </w:rPr>
              <w:t>Хеджирование чистых инвестиций</w:t>
            </w:r>
          </w:p>
          <w:p w:rsidR="00BB1376" w:rsidRDefault="00BB1376" w:rsidP="00BB1376">
            <w:pPr>
              <w:pStyle w:val="a3"/>
              <w:jc w:val="both"/>
              <w:rPr>
                <w:color w:val="626262"/>
                <w:sz w:val="20"/>
                <w:szCs w:val="20"/>
              </w:rPr>
            </w:pPr>
            <w:r>
              <w:rPr>
                <w:color w:val="626262"/>
                <w:sz w:val="20"/>
                <w:szCs w:val="20"/>
              </w:rPr>
              <w:t>102         Хеджирование чистых инвестиций в зарубежную деятельность, включая хеджирование монетарной статьи, учитываемой как часть чистой инвестиции (см. МСФО (IAS) 21), должно учитываться аналогично хеджированию движения денежных средств:</w:t>
            </w:r>
          </w:p>
          <w:p w:rsidR="00BB1376" w:rsidRDefault="00BB1376" w:rsidP="00BB1376">
            <w:pPr>
              <w:pStyle w:val="a3"/>
              <w:jc w:val="both"/>
              <w:rPr>
                <w:color w:val="626262"/>
                <w:sz w:val="20"/>
                <w:szCs w:val="20"/>
              </w:rPr>
            </w:pPr>
            <w:r>
              <w:rPr>
                <w:color w:val="626262"/>
                <w:sz w:val="20"/>
                <w:szCs w:val="20"/>
              </w:rPr>
              <w:t>(а)           часть дохода или убытка от инструмента хеджирования, эффективность которого была установлена (см. параграф 88), следует признавать непосредственно в собственном капитале в отчете об изменениях в собственном капитале (см. МСФО (IAS) 1); и</w:t>
            </w:r>
          </w:p>
          <w:p w:rsidR="00BB1376" w:rsidRDefault="00BB1376" w:rsidP="00BB1376">
            <w:pPr>
              <w:pStyle w:val="a3"/>
              <w:jc w:val="both"/>
              <w:rPr>
                <w:color w:val="626262"/>
                <w:sz w:val="20"/>
                <w:szCs w:val="20"/>
              </w:rPr>
            </w:pPr>
            <w:r>
              <w:rPr>
                <w:color w:val="626262"/>
                <w:sz w:val="20"/>
                <w:szCs w:val="20"/>
              </w:rPr>
              <w:t>(b)           неэффективная часть должна быть признана в составе прибыли или убытка.</w:t>
            </w:r>
          </w:p>
          <w:p w:rsidR="00BB1376" w:rsidRDefault="00BB1376" w:rsidP="00BB1376">
            <w:pPr>
              <w:pStyle w:val="a3"/>
              <w:jc w:val="both"/>
              <w:rPr>
                <w:color w:val="626262"/>
                <w:sz w:val="20"/>
                <w:szCs w:val="20"/>
              </w:rPr>
            </w:pPr>
            <w:r>
              <w:rPr>
                <w:color w:val="626262"/>
                <w:sz w:val="20"/>
                <w:szCs w:val="20"/>
              </w:rPr>
              <w:t>Доход или убыток от инструмента хеджирования, относящийся к эффективной части хеджирования, признанный непосредственно в собственном капитале, должен быть признан в составе прибыли или убытка при выбытии зарубежной деятельности.</w:t>
            </w:r>
          </w:p>
          <w:p w:rsidR="00BB1376" w:rsidRDefault="00BB1376" w:rsidP="00BB1376">
            <w:pPr>
              <w:pStyle w:val="a3"/>
              <w:jc w:val="both"/>
              <w:rPr>
                <w:color w:val="626262"/>
                <w:sz w:val="20"/>
                <w:szCs w:val="20"/>
              </w:rPr>
            </w:pPr>
            <w:r>
              <w:rPr>
                <w:color w:val="626262"/>
                <w:sz w:val="20"/>
                <w:szCs w:val="20"/>
              </w:rPr>
              <w:t>Дата вступления в силу и переход к новому порядку учета</w:t>
            </w:r>
          </w:p>
          <w:p w:rsidR="00BB1376" w:rsidRDefault="00BB1376" w:rsidP="00BB1376">
            <w:pPr>
              <w:pStyle w:val="a3"/>
              <w:jc w:val="both"/>
              <w:rPr>
                <w:color w:val="626262"/>
                <w:sz w:val="20"/>
                <w:szCs w:val="20"/>
              </w:rPr>
            </w:pPr>
            <w:r>
              <w:rPr>
                <w:color w:val="626262"/>
                <w:sz w:val="20"/>
                <w:szCs w:val="20"/>
              </w:rPr>
              <w:t xml:space="preserve">103         Предприятие должно применять настоящий стандарт (включая поправки, выпущенные в марте 2004 </w:t>
            </w:r>
            <w:r>
              <w:rPr>
                <w:color w:val="626262"/>
                <w:sz w:val="20"/>
                <w:szCs w:val="20"/>
              </w:rPr>
              <w:lastRenderedPageBreak/>
              <w:t>г.) для годовых периодов, начинающихся 1 января 2005 г. или после этой даты. Досрочное применение разрешается. Предприятие не должно применять настоящий стандарт (включая поправки, выпущенные в марте 2004 г.) для годовых периодов, начинающихся до 1 января 2005 г., за исключением случаев, когда оно также применяет МСФО (IAS) 32 (выпущенный в декабре 2003 г). Если предприятие применяет настоящий стандарт в отношении периода, начинающегося до 1 января 2005 г., то оно обязано раскрыть этот факт.</w:t>
            </w:r>
          </w:p>
          <w:p w:rsidR="00BB1376" w:rsidRDefault="00BB1376" w:rsidP="00BB1376">
            <w:pPr>
              <w:pStyle w:val="a3"/>
              <w:jc w:val="both"/>
              <w:rPr>
                <w:color w:val="626262"/>
                <w:sz w:val="20"/>
                <w:szCs w:val="20"/>
              </w:rPr>
            </w:pPr>
            <w:r>
              <w:rPr>
                <w:color w:val="626262"/>
                <w:sz w:val="20"/>
                <w:szCs w:val="20"/>
              </w:rPr>
              <w:t>103А      Если предприятие применяет Разъяснение КРМФО (IFRIC) 5</w:t>
            </w:r>
            <w:r>
              <w:rPr>
                <w:rStyle w:val="apple-converted-space"/>
                <w:color w:val="626262"/>
                <w:sz w:val="20"/>
                <w:szCs w:val="20"/>
              </w:rPr>
              <w:t> </w:t>
            </w:r>
            <w:r>
              <w:rPr>
                <w:rStyle w:val="a5"/>
                <w:color w:val="626262"/>
                <w:sz w:val="20"/>
                <w:szCs w:val="20"/>
              </w:rPr>
              <w:t>«Права на участие, возникающие из фондов вывода объектов из эксплуатации, восстановления занимаемых ими участков и экологической реабилитации»</w:t>
            </w:r>
            <w:r>
              <w:rPr>
                <w:rStyle w:val="apple-converted-space"/>
                <w:color w:val="626262"/>
                <w:sz w:val="20"/>
                <w:szCs w:val="20"/>
              </w:rPr>
              <w:t> </w:t>
            </w:r>
            <w:r>
              <w:rPr>
                <w:color w:val="626262"/>
                <w:sz w:val="20"/>
                <w:szCs w:val="20"/>
              </w:rPr>
              <w:t>в отношении более раннего периода, эту поправку следует применять в отношении такого более раннего периода.</w:t>
            </w:r>
          </w:p>
          <w:p w:rsidR="00BB1376" w:rsidRDefault="00BB1376" w:rsidP="00BB1376">
            <w:pPr>
              <w:pStyle w:val="a3"/>
              <w:jc w:val="both"/>
              <w:rPr>
                <w:color w:val="626262"/>
                <w:sz w:val="20"/>
                <w:szCs w:val="20"/>
              </w:rPr>
            </w:pPr>
            <w:r>
              <w:rPr>
                <w:color w:val="626262"/>
                <w:sz w:val="20"/>
                <w:szCs w:val="20"/>
              </w:rPr>
              <w:t>103Б      Документом</w:t>
            </w:r>
            <w:r>
              <w:rPr>
                <w:rStyle w:val="apple-converted-space"/>
                <w:color w:val="626262"/>
                <w:sz w:val="20"/>
                <w:szCs w:val="20"/>
              </w:rPr>
              <w:t> </w:t>
            </w:r>
            <w:r>
              <w:rPr>
                <w:rStyle w:val="a5"/>
                <w:color w:val="626262"/>
                <w:sz w:val="20"/>
                <w:szCs w:val="20"/>
              </w:rPr>
              <w:t>«Договоры финансовой гарантии»</w:t>
            </w:r>
            <w:r>
              <w:rPr>
                <w:rStyle w:val="apple-converted-space"/>
                <w:color w:val="626262"/>
                <w:sz w:val="20"/>
                <w:szCs w:val="20"/>
              </w:rPr>
              <w:t> </w:t>
            </w:r>
            <w:r>
              <w:rPr>
                <w:color w:val="626262"/>
                <w:sz w:val="20"/>
                <w:szCs w:val="20"/>
              </w:rPr>
              <w:t>(поправки к МСФО (IAS) 39 и МСФО (IFRS) 4), опубликованным в августе 2005 г., внесены изменения в пункты 2(e) и (h), 4, 47 и AG4, добавлен пункт AG4A, добавлено новое определение договоров финансовой гарантии в пункте 9 и удален пункт 3. Предприятие должно применять указанные поправки в отношении годовых периодов, начинающихся 1 января 2006 г. или после этой даты. Если предприятие применяет эти поправки к более раннему периоду, то оно должно раскрыть данный факт и одновременно применить соответствующие поправки к МСФО (IAS) 32</w:t>
            </w:r>
            <w:bookmarkStart w:id="1" w:name="_ftnref2"/>
            <w:r>
              <w:rPr>
                <w:color w:val="626262"/>
                <w:sz w:val="20"/>
                <w:szCs w:val="20"/>
              </w:rPr>
              <w:fldChar w:fldCharType="begin"/>
            </w:r>
            <w:r>
              <w:rPr>
                <w:color w:val="626262"/>
                <w:sz w:val="20"/>
                <w:szCs w:val="20"/>
              </w:rPr>
              <w:instrText xml:space="preserve"> HYPERLINK "http://www.kz-adviser.kz/official/32-ifrs/207-ias39" \l "_ftn2" </w:instrText>
            </w:r>
            <w:r>
              <w:rPr>
                <w:color w:val="626262"/>
                <w:sz w:val="20"/>
                <w:szCs w:val="20"/>
              </w:rPr>
              <w:fldChar w:fldCharType="separate"/>
            </w:r>
            <w:r>
              <w:rPr>
                <w:rStyle w:val="a4"/>
                <w:color w:val="0000FF"/>
                <w:sz w:val="20"/>
                <w:szCs w:val="20"/>
                <w:u w:val="single"/>
              </w:rPr>
              <w:t>[†]</w:t>
            </w:r>
            <w:r>
              <w:rPr>
                <w:color w:val="626262"/>
                <w:sz w:val="20"/>
                <w:szCs w:val="20"/>
              </w:rPr>
              <w:fldChar w:fldCharType="end"/>
            </w:r>
            <w:bookmarkEnd w:id="1"/>
            <w:r>
              <w:rPr>
                <w:rStyle w:val="apple-converted-space"/>
                <w:color w:val="626262"/>
                <w:sz w:val="20"/>
                <w:szCs w:val="20"/>
              </w:rPr>
              <w:t> </w:t>
            </w:r>
            <w:r>
              <w:rPr>
                <w:color w:val="626262"/>
                <w:sz w:val="20"/>
                <w:szCs w:val="20"/>
              </w:rPr>
              <w:t>и МСФО (IFRS) 4.</w:t>
            </w:r>
          </w:p>
          <w:p w:rsidR="00BB1376" w:rsidRDefault="00BB1376" w:rsidP="00BB1376">
            <w:pPr>
              <w:pStyle w:val="a3"/>
              <w:jc w:val="both"/>
              <w:rPr>
                <w:color w:val="626262"/>
                <w:sz w:val="20"/>
                <w:szCs w:val="20"/>
              </w:rPr>
            </w:pPr>
            <w:r>
              <w:rPr>
                <w:color w:val="626262"/>
                <w:sz w:val="20"/>
                <w:szCs w:val="20"/>
              </w:rPr>
              <w:t>104         Настоящий стандарт должен применяться ретроспективно за исключением случаев, указанных в параграфах 105-108. Начальное сальдо нераспределенной прибыли для самого раннего из представленных предыдущих периодов и все другие сравнительные суммы должны корректироваться так, как если бы данный стандарт использовался всегда, за исключением случаев, когда пересчет информации был бы практически невозможен. Если пересчет практически невозможен, то предприятие должно раскрыть этот факт и указать степень, до которой информация была пересчитана.</w:t>
            </w:r>
          </w:p>
          <w:p w:rsidR="00BB1376" w:rsidRDefault="00BB1376" w:rsidP="00BB1376">
            <w:pPr>
              <w:pStyle w:val="a3"/>
              <w:jc w:val="both"/>
              <w:rPr>
                <w:color w:val="626262"/>
                <w:sz w:val="20"/>
                <w:szCs w:val="20"/>
              </w:rPr>
            </w:pPr>
            <w:r>
              <w:rPr>
                <w:color w:val="626262"/>
                <w:sz w:val="20"/>
                <w:szCs w:val="20"/>
              </w:rPr>
              <w:t>105         Если настоящий стандарт применяется впервые, предприятию разрешается классифицировать ранее признанный финансовый актив как имеющийся в наличии для продажи. Применительно к любому такому финансовому активу, предприятие должно признавать все накопленные изменения в справедливой стоимости в отдельном компоненте собственного капитала до последующего прекращения признания или обесценения, когда предприятие должно перевести этот накопленный доход или убыток в состав прибыли или убытка. Предприятие также обязано:</w:t>
            </w:r>
          </w:p>
          <w:p w:rsidR="00BB1376" w:rsidRDefault="00BB1376" w:rsidP="00BB1376">
            <w:pPr>
              <w:pStyle w:val="a3"/>
              <w:jc w:val="both"/>
              <w:rPr>
                <w:color w:val="626262"/>
                <w:sz w:val="20"/>
                <w:szCs w:val="20"/>
              </w:rPr>
            </w:pPr>
            <w:r>
              <w:rPr>
                <w:color w:val="626262"/>
                <w:sz w:val="20"/>
                <w:szCs w:val="20"/>
              </w:rPr>
              <w:t>(а)           пересчитать финансовый актив с использованием новой классификации в сравнительной финансовой отчетности; и</w:t>
            </w:r>
          </w:p>
          <w:p w:rsidR="00BB1376" w:rsidRDefault="00BB1376" w:rsidP="00BB1376">
            <w:pPr>
              <w:pStyle w:val="a3"/>
              <w:jc w:val="both"/>
              <w:rPr>
                <w:color w:val="626262"/>
                <w:sz w:val="20"/>
                <w:szCs w:val="20"/>
              </w:rPr>
            </w:pPr>
            <w:r>
              <w:rPr>
                <w:color w:val="626262"/>
                <w:sz w:val="20"/>
                <w:szCs w:val="20"/>
              </w:rPr>
              <w:t>(b)           раскрыть справедливую стоимость финансовых активов на дату классификации, а также их классификацию и балансовую сумму в предыдущей финансовой отчетности.</w:t>
            </w:r>
          </w:p>
          <w:p w:rsidR="00BB1376" w:rsidRDefault="00BB1376" w:rsidP="00BB1376">
            <w:pPr>
              <w:pStyle w:val="a3"/>
              <w:jc w:val="both"/>
              <w:rPr>
                <w:color w:val="626262"/>
                <w:sz w:val="20"/>
                <w:szCs w:val="20"/>
              </w:rPr>
            </w:pPr>
            <w:r>
              <w:rPr>
                <w:color w:val="626262"/>
                <w:sz w:val="20"/>
                <w:szCs w:val="20"/>
              </w:rPr>
              <w:t>105A      Предприятие должно применять пункты 11A, 48A, AG4B-AG4K, AG33A и AG33B и опубликованные в 2005 г. поправки к пунктам 9, 12 и 13 в отношении годовых периодов, начинающихся 1 января 2006 г. или после этой даты.</w:t>
            </w:r>
          </w:p>
          <w:p w:rsidR="00BB1376" w:rsidRDefault="00BB1376" w:rsidP="00BB1376">
            <w:pPr>
              <w:pStyle w:val="a3"/>
              <w:jc w:val="both"/>
              <w:rPr>
                <w:color w:val="626262"/>
                <w:sz w:val="20"/>
                <w:szCs w:val="20"/>
              </w:rPr>
            </w:pPr>
            <w:r>
              <w:rPr>
                <w:color w:val="626262"/>
                <w:sz w:val="20"/>
                <w:szCs w:val="20"/>
              </w:rPr>
              <w:t>105B      Предприятие, впервые применяющее пункты 11A, 48A, AG4B-AG4K, AG33A и AG33B и опубликованные в 2005 г. поправки к пунктам 9, 12 и 13 в отношении годового периода, начинающегося до 1 января 2006 г.</w:t>
            </w:r>
          </w:p>
          <w:p w:rsidR="00BB1376" w:rsidRDefault="00BB1376" w:rsidP="00BB1376">
            <w:pPr>
              <w:pStyle w:val="a3"/>
              <w:jc w:val="both"/>
              <w:rPr>
                <w:color w:val="626262"/>
                <w:sz w:val="20"/>
                <w:szCs w:val="20"/>
              </w:rPr>
            </w:pPr>
            <w:r>
              <w:rPr>
                <w:color w:val="626262"/>
                <w:sz w:val="20"/>
                <w:szCs w:val="20"/>
              </w:rPr>
              <w:t>(а)           при первом применении этих новых и измененных пунктов может классифицировать как учитываемые по справедливой стоимости через прибыль или убыток любые ранее признанные финансовые активы или финансовые обязательства, которые в такой момент удовлетворяют критериям для этой классификации. Если годовой период начинается до 1 сентября 2005 г., такую классификацию можно выполнить до 1 сентября 2005 г. и она также может включать финансовые активы и финансовые обязательства, признанные в промежуток времени между началом этого годового периода и 1 сентября 2005 г. Несмотря на положения пункта 91, любые финансовые активы и финансовые обязательства, классифицированные как учитываемые по справедливой стоимости через прибыль или убыток в соответствии с настоящим подпунктом, которые ранее классифицировались как хеджируемая статья в рамках учета хеджирования справедливой стоимости, должны быть выведены за рамки такого учета одновременно с классификацией их как учитываемых по справедливой стоимости через прибыль или убыток.</w:t>
            </w:r>
          </w:p>
          <w:p w:rsidR="00BB1376" w:rsidRDefault="00BB1376" w:rsidP="00BB1376">
            <w:pPr>
              <w:pStyle w:val="a3"/>
              <w:jc w:val="both"/>
              <w:rPr>
                <w:color w:val="626262"/>
                <w:sz w:val="20"/>
                <w:szCs w:val="20"/>
              </w:rPr>
            </w:pPr>
            <w:r>
              <w:rPr>
                <w:color w:val="626262"/>
                <w:sz w:val="20"/>
                <w:szCs w:val="20"/>
              </w:rPr>
              <w:t xml:space="preserve">(b)           должно раскрыть справедливую стоимость любых финансовых активов или финансовых </w:t>
            </w:r>
            <w:r>
              <w:rPr>
                <w:color w:val="626262"/>
                <w:sz w:val="20"/>
                <w:szCs w:val="20"/>
              </w:rPr>
              <w:lastRenderedPageBreak/>
              <w:t>обязательств, классифицированных в соответствии с подпунктом (a), на дату классификации, а также их классификацию и балансовую стоимость в предыдущей финансовой отчетности.</w:t>
            </w:r>
          </w:p>
          <w:p w:rsidR="00BB1376" w:rsidRDefault="00BB1376" w:rsidP="00BB1376">
            <w:pPr>
              <w:pStyle w:val="a3"/>
              <w:jc w:val="both"/>
              <w:rPr>
                <w:color w:val="626262"/>
                <w:sz w:val="20"/>
                <w:szCs w:val="20"/>
              </w:rPr>
            </w:pPr>
            <w:r>
              <w:rPr>
                <w:color w:val="626262"/>
                <w:sz w:val="20"/>
                <w:szCs w:val="20"/>
              </w:rPr>
              <w:t>(c)           должно реклассифицировать любой финансовый актив или любое финансовое обязательство, которые ранее классифицировались как учитываемые по справедливой стоимости через прибыль или убыток, если они не удовлетворяют критериям для такой классификации в соответствии с этими новыми и измененными пунктами. Если после реклассификации финансовый актив или финансовое обязательство подлежат измерению по амортизированной стоимости, дата реклассификации считается датой его первоначального признания.</w:t>
            </w:r>
          </w:p>
          <w:p w:rsidR="00BB1376" w:rsidRDefault="00BB1376" w:rsidP="00BB1376">
            <w:pPr>
              <w:pStyle w:val="a3"/>
              <w:jc w:val="both"/>
              <w:rPr>
                <w:color w:val="626262"/>
                <w:sz w:val="20"/>
                <w:szCs w:val="20"/>
              </w:rPr>
            </w:pPr>
            <w:r>
              <w:rPr>
                <w:color w:val="626262"/>
                <w:sz w:val="20"/>
                <w:szCs w:val="20"/>
              </w:rPr>
              <w:t>(d)           должно раскрыть справедливую стоимость любых финансовых активов или финансовых обязательств, реклассифицированных в соответствии с подпунктом (c), на дату реклассификации, с указанием их новой классификации.</w:t>
            </w:r>
          </w:p>
          <w:p w:rsidR="00BB1376" w:rsidRDefault="00BB1376" w:rsidP="00BB1376">
            <w:pPr>
              <w:pStyle w:val="a3"/>
              <w:jc w:val="both"/>
              <w:rPr>
                <w:color w:val="626262"/>
                <w:sz w:val="20"/>
                <w:szCs w:val="20"/>
              </w:rPr>
            </w:pPr>
            <w:r>
              <w:rPr>
                <w:color w:val="626262"/>
                <w:sz w:val="20"/>
                <w:szCs w:val="20"/>
              </w:rPr>
              <w:t>105C      Предприятие, впервые применяющее пункты 11A, 48A, AG4B-AG4K, AG33A и AG33B и опубликованные в 2005 г. поправки к пунктам 9, 12 и 13 в отношении годового периода, начинающегося 1 января 2006 г. или после этой даты</w:t>
            </w:r>
          </w:p>
          <w:p w:rsidR="00BB1376" w:rsidRDefault="00BB1376" w:rsidP="00BB1376">
            <w:pPr>
              <w:pStyle w:val="a3"/>
              <w:jc w:val="both"/>
              <w:rPr>
                <w:color w:val="626262"/>
                <w:sz w:val="20"/>
                <w:szCs w:val="20"/>
              </w:rPr>
            </w:pPr>
            <w:r>
              <w:rPr>
                <w:color w:val="626262"/>
                <w:sz w:val="20"/>
                <w:szCs w:val="20"/>
              </w:rPr>
              <w:t>(а)           должно реклассифицировать любой финансовый актив или любое финансовое обязательство, которые ранее классифицировались как учитываемые по справедливой стоимости через прибыль или убыток, только если они не удовлетворяют критериям для такой классификации в соответствии с этими новыми и измененными пунктами. Если после реклассификации финансовый актив или финансовое обязательство подлежат измерению по амортизированной стоимости, дата реклассификации считается датой его первоначального признания.</w:t>
            </w:r>
          </w:p>
          <w:p w:rsidR="00BB1376" w:rsidRDefault="00BB1376" w:rsidP="00BB1376">
            <w:pPr>
              <w:pStyle w:val="a3"/>
              <w:jc w:val="both"/>
              <w:rPr>
                <w:color w:val="626262"/>
                <w:sz w:val="20"/>
                <w:szCs w:val="20"/>
              </w:rPr>
            </w:pPr>
            <w:r>
              <w:rPr>
                <w:color w:val="626262"/>
                <w:sz w:val="20"/>
                <w:szCs w:val="20"/>
              </w:rPr>
              <w:t>(b)           не должно классифицировать как учитываемые по справедливой стоимости через прибыль или убыток любые ранее признанные финансовые активы или финансовые обязательства.</w:t>
            </w:r>
          </w:p>
          <w:p w:rsidR="00BB1376" w:rsidRDefault="00BB1376" w:rsidP="00BB1376">
            <w:pPr>
              <w:pStyle w:val="a3"/>
              <w:jc w:val="both"/>
              <w:rPr>
                <w:color w:val="626262"/>
                <w:sz w:val="20"/>
                <w:szCs w:val="20"/>
              </w:rPr>
            </w:pPr>
            <w:r>
              <w:rPr>
                <w:color w:val="626262"/>
                <w:sz w:val="20"/>
                <w:szCs w:val="20"/>
              </w:rPr>
              <w:t>(c)           должно раскрыть справедливую стоимость любых финансовых активов или финансовых обязательств, реклассифицированных в соответствии с подпунктом (a), на дату реклассификации, с указанием их новой классификации.</w:t>
            </w:r>
          </w:p>
          <w:p w:rsidR="00BB1376" w:rsidRDefault="00BB1376" w:rsidP="00BB1376">
            <w:pPr>
              <w:pStyle w:val="a3"/>
              <w:jc w:val="both"/>
              <w:rPr>
                <w:color w:val="626262"/>
                <w:sz w:val="20"/>
                <w:szCs w:val="20"/>
              </w:rPr>
            </w:pPr>
            <w:r>
              <w:rPr>
                <w:color w:val="626262"/>
                <w:sz w:val="20"/>
                <w:szCs w:val="20"/>
              </w:rPr>
              <w:t>105D      Предприятие должно пересчитать свою сравнительную финансовую отчетность с использованием новой классификации, предусмотренной пунктом 105B или 105C, при условии что, применительно к финансовому активу, финансовому обязательству, группе финансовых активов, группе финансовых обязательств или группе финансовых активов и финансовых обязательств, классифицированным как учитываемые по справедливой стоимости через прибыль или убыток, эти статьи или группы удовлетворяли бы критериям, установленным в пункте 9(b)(i), 9(b)(ii) или 11A, на начало сравнительного периода или, в случае их приобретения после начала сравнительного периода, удовлетворяли бы критериям, установленным в пункте 9(b)(i), 9(b)(ii) или 11, на дату первоначального признания.</w:t>
            </w:r>
          </w:p>
          <w:p w:rsidR="00BB1376" w:rsidRDefault="00BB1376" w:rsidP="00BB1376">
            <w:pPr>
              <w:pStyle w:val="a3"/>
              <w:jc w:val="both"/>
              <w:rPr>
                <w:color w:val="626262"/>
                <w:sz w:val="20"/>
                <w:szCs w:val="20"/>
              </w:rPr>
            </w:pPr>
            <w:r>
              <w:rPr>
                <w:color w:val="626262"/>
                <w:sz w:val="20"/>
                <w:szCs w:val="20"/>
              </w:rPr>
              <w:t>106         Предприятие должно перспективно применять требования по прекращению признания, изложенные в параграфах 15-37 и параграфах AG36-AG52 приложения А, за исключением случаев, разрешенных в параграфе 107. Соответственно, если предприятие прекратило признание финансового актива в соответствии с МСФО (IAS) 39 (редакция 2000 г.) в результате операции, совершенной до 1 января 2004 г., и признание этих активов не было бы прекращено согласно настоящему стандарту, то предприятие не должно признавать эти активы.</w:t>
            </w:r>
          </w:p>
          <w:p w:rsidR="00BB1376" w:rsidRDefault="00BB1376" w:rsidP="00BB1376">
            <w:pPr>
              <w:pStyle w:val="a3"/>
              <w:jc w:val="both"/>
              <w:rPr>
                <w:color w:val="626262"/>
                <w:sz w:val="20"/>
                <w:szCs w:val="20"/>
              </w:rPr>
            </w:pPr>
            <w:r>
              <w:rPr>
                <w:color w:val="626262"/>
                <w:sz w:val="20"/>
                <w:szCs w:val="20"/>
              </w:rPr>
              <w:t>107         Несмотря на положения параграфа 106, предприятие может применять требования по прекращению признания, содержащиеся в параграфах 15-37 и параграфах AG36-AG52 приложения А, ретроспективно с даты, которую предприятие может установить по своему выбору, при условии, что информация, необходимая для применения МСФО (IAS) 39 к активам и обязательствам, признание которых было прекращено в результате прошлых операций, была получена в момент первоначального учета этих операций.</w:t>
            </w:r>
          </w:p>
          <w:p w:rsidR="00BB1376" w:rsidRDefault="00BB1376" w:rsidP="00BB1376">
            <w:pPr>
              <w:pStyle w:val="a3"/>
              <w:jc w:val="both"/>
              <w:rPr>
                <w:color w:val="626262"/>
                <w:sz w:val="20"/>
                <w:szCs w:val="20"/>
              </w:rPr>
            </w:pPr>
            <w:r>
              <w:rPr>
                <w:color w:val="626262"/>
                <w:sz w:val="20"/>
                <w:szCs w:val="20"/>
              </w:rPr>
              <w:t>107А      Несмотря на положения пункта 104, предприятие может применять требования, изложенные в последнем предложении пункта AG76 и в пункте AG76A, с использованием любого из следующих способов:</w:t>
            </w:r>
          </w:p>
          <w:p w:rsidR="00BB1376" w:rsidRDefault="00BB1376" w:rsidP="00BB1376">
            <w:pPr>
              <w:pStyle w:val="a3"/>
              <w:jc w:val="both"/>
              <w:rPr>
                <w:color w:val="626262"/>
                <w:sz w:val="20"/>
                <w:szCs w:val="20"/>
              </w:rPr>
            </w:pPr>
            <w:r>
              <w:rPr>
                <w:color w:val="626262"/>
                <w:sz w:val="20"/>
                <w:szCs w:val="20"/>
              </w:rPr>
              <w:lastRenderedPageBreak/>
              <w:t>(а)           перспективно в отношении сделок, заключенных после 25 октября 2002 г.; или</w:t>
            </w:r>
          </w:p>
          <w:p w:rsidR="00BB1376" w:rsidRDefault="00BB1376" w:rsidP="00BB1376">
            <w:pPr>
              <w:pStyle w:val="a3"/>
              <w:jc w:val="both"/>
              <w:rPr>
                <w:color w:val="626262"/>
                <w:sz w:val="20"/>
                <w:szCs w:val="20"/>
              </w:rPr>
            </w:pPr>
            <w:r>
              <w:rPr>
                <w:color w:val="626262"/>
                <w:sz w:val="20"/>
                <w:szCs w:val="20"/>
              </w:rPr>
              <w:t>(b)           перспективно в отношении сделок, заключенных после 1 января 2004 г.</w:t>
            </w:r>
          </w:p>
          <w:p w:rsidR="00BB1376" w:rsidRDefault="00BB1376" w:rsidP="00BB1376">
            <w:pPr>
              <w:pStyle w:val="a3"/>
              <w:jc w:val="both"/>
              <w:rPr>
                <w:color w:val="626262"/>
                <w:sz w:val="20"/>
                <w:szCs w:val="20"/>
              </w:rPr>
            </w:pPr>
            <w:r>
              <w:rPr>
                <w:color w:val="626262"/>
                <w:sz w:val="20"/>
                <w:szCs w:val="20"/>
              </w:rPr>
              <w:t>108         Предприятие не должно корректировать балансовую стоимость нефинансовых активов и нефинансовых обязательств для того, чтобы исключить доходы и убытки, относящиеся к хеджированию потоков денежных средств, которые были включены в балансовую стоимость до начала финансового года, в котором настоящий стандарт был применен впервые. В начале финансового периода, в котором настоящий стандарт применяется впервые, суммы, признанные непосредственно в собственном капитале по хеджированию твердого соглашения, которое согласно настоящему стандарту учитывается как хеджирование справедливой стоимости, должны быть переклассифицированы в качестве актива или обязательства, за исключением хеджирования валютного риска, которое продолжает учитываться как хеджирование потоков денежных средств.</w:t>
            </w:r>
          </w:p>
          <w:p w:rsidR="00BB1376" w:rsidRDefault="00BB1376" w:rsidP="00BB1376">
            <w:pPr>
              <w:pStyle w:val="a3"/>
              <w:jc w:val="both"/>
              <w:rPr>
                <w:color w:val="626262"/>
                <w:sz w:val="20"/>
                <w:szCs w:val="20"/>
              </w:rPr>
            </w:pPr>
            <w:r>
              <w:rPr>
                <w:color w:val="626262"/>
                <w:sz w:val="20"/>
                <w:szCs w:val="20"/>
              </w:rPr>
              <w:t>108А      Предприятие должно применять последнее предложение пункта 80 и пункты AG99A и AG99B в отношении годовых периодов, начинающихся 1 января 2006 г. или после этой даты. Если предприятие классифицировало в качестве хеджируемой статьи внешнюю прогнозируемую сделку, которая</w:t>
            </w:r>
          </w:p>
          <w:p w:rsidR="00BB1376" w:rsidRDefault="00BB1376" w:rsidP="00BB1376">
            <w:pPr>
              <w:pStyle w:val="a3"/>
              <w:jc w:val="both"/>
              <w:rPr>
                <w:color w:val="626262"/>
                <w:sz w:val="20"/>
                <w:szCs w:val="20"/>
              </w:rPr>
            </w:pPr>
            <w:r>
              <w:rPr>
                <w:color w:val="626262"/>
                <w:sz w:val="20"/>
                <w:szCs w:val="20"/>
              </w:rPr>
              <w:t>(а)           выражена в функциональной валюте предприятия, заключающего сделку,</w:t>
            </w:r>
          </w:p>
          <w:p w:rsidR="00BB1376" w:rsidRDefault="00BB1376" w:rsidP="00BB1376">
            <w:pPr>
              <w:pStyle w:val="a3"/>
              <w:jc w:val="both"/>
              <w:rPr>
                <w:color w:val="626262"/>
                <w:sz w:val="20"/>
                <w:szCs w:val="20"/>
              </w:rPr>
            </w:pPr>
            <w:r>
              <w:rPr>
                <w:color w:val="626262"/>
                <w:sz w:val="20"/>
                <w:szCs w:val="20"/>
              </w:rPr>
              <w:t>(b)           приводит к возникновению риска, который может повлиять на консолидированную прибыль или консолидированный убыток (т.е. выражена в валюте, отличной от валюты представления отчетности группы), и</w:t>
            </w:r>
          </w:p>
          <w:p w:rsidR="00BB1376" w:rsidRDefault="00BB1376" w:rsidP="00BB1376">
            <w:pPr>
              <w:pStyle w:val="a3"/>
              <w:jc w:val="both"/>
              <w:rPr>
                <w:color w:val="626262"/>
                <w:sz w:val="20"/>
                <w:szCs w:val="20"/>
              </w:rPr>
            </w:pPr>
            <w:r>
              <w:rPr>
                <w:color w:val="626262"/>
                <w:sz w:val="20"/>
                <w:szCs w:val="20"/>
              </w:rPr>
              <w:t>(c)           удовлетворяла бы критериям для учета хеджирования, если бы не была выражена в функциональной валюте предприятия, заключающего эту сделку,</w:t>
            </w:r>
          </w:p>
          <w:p w:rsidR="00BB1376" w:rsidRDefault="00BB1376" w:rsidP="00BB1376">
            <w:pPr>
              <w:pStyle w:val="a3"/>
              <w:jc w:val="both"/>
              <w:rPr>
                <w:color w:val="626262"/>
                <w:sz w:val="20"/>
                <w:szCs w:val="20"/>
              </w:rPr>
            </w:pPr>
            <w:r>
              <w:rPr>
                <w:color w:val="626262"/>
                <w:sz w:val="20"/>
                <w:szCs w:val="20"/>
              </w:rPr>
              <w:t>оно может применять учет хеджирования в консолидированной финансовой отчетности за период (периоды) до даты применения последнего предложения пункта 80 и пунктов AG99A и AG99B.</w:t>
            </w:r>
          </w:p>
          <w:p w:rsidR="00BB1376" w:rsidRDefault="00BB1376" w:rsidP="00BB1376">
            <w:pPr>
              <w:pStyle w:val="a3"/>
              <w:jc w:val="both"/>
              <w:rPr>
                <w:color w:val="626262"/>
                <w:sz w:val="20"/>
                <w:szCs w:val="20"/>
              </w:rPr>
            </w:pPr>
            <w:r>
              <w:rPr>
                <w:color w:val="626262"/>
                <w:sz w:val="20"/>
                <w:szCs w:val="20"/>
              </w:rPr>
              <w:t>108B      Предприятие не обязано применять пункт AG99B к сравнительной информации, относящейся к периодам до даты применения последнего предложения пункта 80 и пункта AG99A.</w:t>
            </w:r>
          </w:p>
          <w:p w:rsidR="00BB1376" w:rsidRDefault="00BB1376" w:rsidP="00BB1376">
            <w:pPr>
              <w:pStyle w:val="a3"/>
              <w:jc w:val="both"/>
              <w:rPr>
                <w:color w:val="626262"/>
                <w:sz w:val="20"/>
                <w:szCs w:val="20"/>
              </w:rPr>
            </w:pPr>
            <w:r>
              <w:rPr>
                <w:color w:val="626262"/>
                <w:sz w:val="20"/>
                <w:szCs w:val="20"/>
              </w:rPr>
              <w:t>Прекращение действия прочих нормативных документов</w:t>
            </w:r>
          </w:p>
          <w:p w:rsidR="00BB1376" w:rsidRDefault="00BB1376" w:rsidP="00BB1376">
            <w:pPr>
              <w:pStyle w:val="a3"/>
              <w:jc w:val="both"/>
              <w:rPr>
                <w:color w:val="626262"/>
                <w:sz w:val="20"/>
                <w:szCs w:val="20"/>
              </w:rPr>
            </w:pPr>
            <w:r>
              <w:rPr>
                <w:color w:val="626262"/>
                <w:sz w:val="20"/>
                <w:szCs w:val="20"/>
              </w:rPr>
              <w:t>109         Настоящий стандарт заменяет собой МСФО (IAS) 39</w:t>
            </w:r>
            <w:r>
              <w:rPr>
                <w:rStyle w:val="apple-converted-space"/>
                <w:color w:val="626262"/>
                <w:sz w:val="20"/>
                <w:szCs w:val="20"/>
              </w:rPr>
              <w:t> </w:t>
            </w:r>
            <w:r>
              <w:rPr>
                <w:rStyle w:val="a5"/>
                <w:color w:val="626262"/>
                <w:sz w:val="20"/>
                <w:szCs w:val="20"/>
              </w:rPr>
              <w:t>«Финансовые инструменты: признание и оценка»,</w:t>
            </w:r>
            <w:r>
              <w:rPr>
                <w:rStyle w:val="apple-converted-space"/>
                <w:color w:val="626262"/>
                <w:sz w:val="20"/>
                <w:szCs w:val="20"/>
              </w:rPr>
              <w:t> </w:t>
            </w:r>
            <w:r>
              <w:rPr>
                <w:color w:val="626262"/>
                <w:sz w:val="20"/>
                <w:szCs w:val="20"/>
              </w:rPr>
              <w:t>в редакции октября 2000 года.</w:t>
            </w:r>
          </w:p>
          <w:p w:rsidR="00BB1376" w:rsidRDefault="00BB1376" w:rsidP="00BB1376">
            <w:pPr>
              <w:pStyle w:val="a3"/>
              <w:jc w:val="both"/>
              <w:rPr>
                <w:color w:val="626262"/>
                <w:sz w:val="20"/>
                <w:szCs w:val="20"/>
              </w:rPr>
            </w:pPr>
            <w:r>
              <w:rPr>
                <w:color w:val="626262"/>
                <w:sz w:val="20"/>
                <w:szCs w:val="20"/>
              </w:rPr>
              <w:t>110         Настоящий стандарт и прилагающееся руководство по выполнению заменяют руководство по выполнению, выпущенное Комитетом по руководству по выполнению МСФО (IAS) 39, учрежденным бывшим КМСФО.</w:t>
            </w:r>
          </w:p>
          <w:p w:rsidR="00BB1376" w:rsidRDefault="00BB1376" w:rsidP="00BB1376">
            <w:pPr>
              <w:pStyle w:val="a3"/>
              <w:jc w:val="both"/>
              <w:rPr>
                <w:color w:val="626262"/>
                <w:sz w:val="20"/>
                <w:szCs w:val="20"/>
              </w:rPr>
            </w:pPr>
            <w:r>
              <w:rPr>
                <w:color w:val="626262"/>
                <w:sz w:val="20"/>
                <w:szCs w:val="20"/>
              </w:rPr>
              <w:t>Приложение А</w:t>
            </w:r>
            <w:r>
              <w:rPr>
                <w:rStyle w:val="apple-converted-space"/>
                <w:color w:val="626262"/>
                <w:sz w:val="20"/>
                <w:szCs w:val="20"/>
              </w:rPr>
              <w:t> </w:t>
            </w:r>
            <w:r>
              <w:rPr>
                <w:color w:val="626262"/>
                <w:sz w:val="20"/>
                <w:szCs w:val="20"/>
              </w:rPr>
              <w:br/>
              <w:t>«Руководство по применению»</w:t>
            </w:r>
          </w:p>
          <w:p w:rsidR="00BB1376" w:rsidRDefault="00BB1376" w:rsidP="00BB1376">
            <w:pPr>
              <w:pStyle w:val="a3"/>
              <w:jc w:val="both"/>
              <w:rPr>
                <w:color w:val="626262"/>
                <w:sz w:val="20"/>
                <w:szCs w:val="20"/>
              </w:rPr>
            </w:pPr>
            <w:r>
              <w:rPr>
                <w:color w:val="626262"/>
                <w:sz w:val="20"/>
                <w:szCs w:val="20"/>
              </w:rPr>
              <w:t>Данное приложение является неотъемлемой частью настоящего стандарта.</w:t>
            </w:r>
          </w:p>
          <w:p w:rsidR="00BB1376" w:rsidRDefault="00BB1376" w:rsidP="00BB1376">
            <w:pPr>
              <w:pStyle w:val="a3"/>
              <w:jc w:val="both"/>
              <w:rPr>
                <w:color w:val="626262"/>
                <w:sz w:val="20"/>
                <w:szCs w:val="20"/>
              </w:rPr>
            </w:pPr>
            <w:r>
              <w:rPr>
                <w:color w:val="626262"/>
                <w:sz w:val="20"/>
                <w:szCs w:val="20"/>
              </w:rPr>
              <w:t>Сфера применения (параграфы 2-7)</w:t>
            </w:r>
          </w:p>
          <w:p w:rsidR="00BB1376" w:rsidRDefault="00BB1376" w:rsidP="00BB1376">
            <w:pPr>
              <w:pStyle w:val="a3"/>
              <w:jc w:val="both"/>
              <w:rPr>
                <w:color w:val="626262"/>
                <w:sz w:val="20"/>
                <w:szCs w:val="20"/>
              </w:rPr>
            </w:pPr>
            <w:r>
              <w:rPr>
                <w:color w:val="626262"/>
                <w:sz w:val="20"/>
                <w:szCs w:val="20"/>
              </w:rPr>
              <w:t>AG1        Некоторые договоры требуют осуществления платежа на основе климатических, геологических или других физических переменных. (Договоры, основанные на климатических переменных, часто называют «метеорологическими производными инструментами».) Если такие договоры не попадают в сферу применения МСФО (IFRS) 4</w:t>
            </w:r>
            <w:r>
              <w:rPr>
                <w:rStyle w:val="apple-converted-space"/>
                <w:color w:val="626262"/>
                <w:sz w:val="20"/>
                <w:szCs w:val="20"/>
              </w:rPr>
              <w:t> </w:t>
            </w:r>
            <w:r>
              <w:rPr>
                <w:rStyle w:val="a5"/>
                <w:color w:val="626262"/>
                <w:sz w:val="20"/>
                <w:szCs w:val="20"/>
              </w:rPr>
              <w:t>«Договоры страхования»</w:t>
            </w:r>
            <w:r>
              <w:rPr>
                <w:color w:val="626262"/>
                <w:sz w:val="20"/>
                <w:szCs w:val="20"/>
              </w:rPr>
              <w:t>, они регулируются настоящим стандартом.</w:t>
            </w:r>
          </w:p>
          <w:p w:rsidR="00BB1376" w:rsidRDefault="00BB1376" w:rsidP="00BB1376">
            <w:pPr>
              <w:pStyle w:val="a3"/>
              <w:jc w:val="both"/>
              <w:rPr>
                <w:color w:val="626262"/>
                <w:sz w:val="20"/>
                <w:szCs w:val="20"/>
              </w:rPr>
            </w:pPr>
            <w:r>
              <w:rPr>
                <w:color w:val="626262"/>
                <w:sz w:val="20"/>
                <w:szCs w:val="20"/>
              </w:rPr>
              <w:t>AG2        Настоящий стандарт не меняет требования, относящиеся к пенсионным планам, которые соответствуют МСФО (IAS) 26</w:t>
            </w:r>
            <w:r>
              <w:rPr>
                <w:rStyle w:val="apple-converted-space"/>
                <w:color w:val="626262"/>
                <w:sz w:val="20"/>
                <w:szCs w:val="20"/>
              </w:rPr>
              <w:t> </w:t>
            </w:r>
            <w:r>
              <w:rPr>
                <w:rStyle w:val="a5"/>
                <w:color w:val="626262"/>
                <w:sz w:val="20"/>
                <w:szCs w:val="20"/>
              </w:rPr>
              <w:t>«Учет и отчетность по пенсионным планам»</w:t>
            </w:r>
            <w:r>
              <w:rPr>
                <w:color w:val="626262"/>
                <w:sz w:val="20"/>
                <w:szCs w:val="20"/>
              </w:rPr>
              <w:t>, и договорам о роялти, основанным на объеме продаж или выручке от реализации услуг, которые учитываются в соответствии с МСФО (IAS) 18</w:t>
            </w:r>
            <w:r>
              <w:rPr>
                <w:rStyle w:val="apple-converted-space"/>
                <w:color w:val="626262"/>
                <w:sz w:val="20"/>
                <w:szCs w:val="20"/>
              </w:rPr>
              <w:t> </w:t>
            </w:r>
            <w:r>
              <w:rPr>
                <w:rStyle w:val="a5"/>
                <w:color w:val="626262"/>
                <w:sz w:val="20"/>
                <w:szCs w:val="20"/>
              </w:rPr>
              <w:t>«Выручка»</w:t>
            </w:r>
            <w:r>
              <w:rPr>
                <w:color w:val="626262"/>
                <w:sz w:val="20"/>
                <w:szCs w:val="20"/>
              </w:rPr>
              <w:t>.</w:t>
            </w:r>
          </w:p>
          <w:p w:rsidR="00BB1376" w:rsidRDefault="00BB1376" w:rsidP="00BB1376">
            <w:pPr>
              <w:pStyle w:val="a3"/>
              <w:jc w:val="both"/>
              <w:rPr>
                <w:color w:val="626262"/>
                <w:sz w:val="20"/>
                <w:szCs w:val="20"/>
              </w:rPr>
            </w:pPr>
            <w:r>
              <w:rPr>
                <w:color w:val="626262"/>
                <w:sz w:val="20"/>
                <w:szCs w:val="20"/>
              </w:rPr>
              <w:lastRenderedPageBreak/>
              <w:t>AG3        Иногда предприятие осуществляет так называемые «стратегические инвестиции» в долевые инструменты других предприятий с целью установления или поддержания долгосрочных рабочих связей с предприятием, являющимся объектом инвестирования. Предприятие-инвестор применяет МСФО (IAS) 28</w:t>
            </w:r>
            <w:r>
              <w:rPr>
                <w:rStyle w:val="a5"/>
                <w:color w:val="626262"/>
                <w:sz w:val="20"/>
                <w:szCs w:val="20"/>
              </w:rPr>
              <w:t>«Инвестиции в ассоциированные предприятия»</w:t>
            </w:r>
            <w:r>
              <w:rPr>
                <w:color w:val="626262"/>
                <w:sz w:val="20"/>
                <w:szCs w:val="20"/>
              </w:rPr>
              <w:t>, для того чтобы определить, является ли метод учета по долевому участию применимым к такой инвестиции. Аналогичным образом предприятие-инвестор использует МСФО (IAS) 31</w:t>
            </w:r>
            <w:r>
              <w:rPr>
                <w:rStyle w:val="apple-converted-space"/>
                <w:color w:val="626262"/>
                <w:sz w:val="20"/>
                <w:szCs w:val="20"/>
              </w:rPr>
              <w:t> </w:t>
            </w:r>
            <w:r>
              <w:rPr>
                <w:rStyle w:val="a5"/>
                <w:color w:val="626262"/>
                <w:sz w:val="20"/>
                <w:szCs w:val="20"/>
              </w:rPr>
              <w:t>«Участие в совместном предпринимательстве»</w:t>
            </w:r>
            <w:r>
              <w:rPr>
                <w:color w:val="626262"/>
                <w:sz w:val="20"/>
                <w:szCs w:val="20"/>
              </w:rPr>
              <w:t>, для того чтобы определить, является ли пропорциональная консолидация или метод долевого участия применимым для таких инвестиций.</w:t>
            </w:r>
          </w:p>
          <w:p w:rsidR="00BB1376" w:rsidRDefault="00BB1376" w:rsidP="00BB1376">
            <w:pPr>
              <w:pStyle w:val="a3"/>
              <w:jc w:val="both"/>
              <w:rPr>
                <w:color w:val="626262"/>
                <w:sz w:val="20"/>
                <w:szCs w:val="20"/>
              </w:rPr>
            </w:pPr>
            <w:r>
              <w:rPr>
                <w:color w:val="626262"/>
                <w:sz w:val="20"/>
                <w:szCs w:val="20"/>
              </w:rPr>
              <w:t>AG3A     Настоящий стандарт применяется к финансовым активам и финансовым обязательствам страховых компаний, кроме прав и обязанностей, которые исключаются согласно параграфу 2(е), так как они возникают по договорам, входящим в сферу применения МСФО (IFRS) 4.</w:t>
            </w:r>
          </w:p>
          <w:p w:rsidR="00BB1376" w:rsidRDefault="00BB1376" w:rsidP="00BB1376">
            <w:pPr>
              <w:pStyle w:val="a3"/>
              <w:jc w:val="both"/>
              <w:rPr>
                <w:color w:val="626262"/>
                <w:sz w:val="20"/>
                <w:szCs w:val="20"/>
              </w:rPr>
            </w:pPr>
            <w:r>
              <w:rPr>
                <w:color w:val="626262"/>
                <w:sz w:val="20"/>
                <w:szCs w:val="20"/>
              </w:rPr>
              <w:t>AG4        Договоры финансовой гарантии могут иметь разные юридические формы, такие, как гарантия, некоторые виды аккредитивов, договор на случай невыполнения обязательств по кредитам или договор страхования. Их порядок учета не зависит от юридической формы. Ниже представлены примеры приемлемого порядка учета (см. пункт 2(е)):</w:t>
            </w:r>
          </w:p>
          <w:p w:rsidR="00BB1376" w:rsidRDefault="00BB1376" w:rsidP="00BB1376">
            <w:pPr>
              <w:pStyle w:val="a3"/>
              <w:jc w:val="both"/>
              <w:rPr>
                <w:color w:val="626262"/>
                <w:sz w:val="20"/>
                <w:szCs w:val="20"/>
              </w:rPr>
            </w:pPr>
            <w:r>
              <w:rPr>
                <w:color w:val="626262"/>
                <w:sz w:val="20"/>
                <w:szCs w:val="20"/>
              </w:rPr>
              <w:t>(а)           Несмотря на то, что договор финансовой гарантии соответствует определению договора страхования в МСФО (IFRS) 4, если передаваемый риск является значительным, эмитент должен применять настоящий стандарт. Тем не менее, если эмитент ранее прямо утверждал, что он рассматривает такие договоры в качестве договоров страхования, и использовал порядок учета, применимый к договорам страхования, эмитент может по своему усмотрению применять к таким договорам финансовой гарантии либо настоящий стандарт, либо МСФО (IFRS) 4. Если применяется настоящий стандарт, в соответствии с требованиями пункта 43 эмитент должен произвести первоначальное признание договора финансовой гарантии по справедливой стоимости. Если договор финансовой гарантии был заключен с несвязанной стороной в рамках самостоятельной сделки между независимыми сторонами, его справедливая стоимость на начальную дату, вероятно, будет равна величине полученной премии при отсутствии каких-либо доказательств, опровергающих это. Соответственно, если договор финансовой гарантии на начальную дату не был классифицирован как учитываемый по справедливой стоимости через прибыль или убыток и если не применяются пункты 29-37 и AG47-AG52 (когда передача финансового актива не удовлетворяет критериям для прекращения признания или применяется метод продолжающегося участия), эмитент измеряет его по наибольшему из следующих значений:</w:t>
            </w:r>
          </w:p>
          <w:p w:rsidR="00BB1376" w:rsidRDefault="00BB1376" w:rsidP="00BB1376">
            <w:pPr>
              <w:pStyle w:val="a3"/>
              <w:jc w:val="both"/>
              <w:rPr>
                <w:color w:val="626262"/>
                <w:sz w:val="20"/>
                <w:szCs w:val="20"/>
              </w:rPr>
            </w:pPr>
            <w:r>
              <w:rPr>
                <w:color w:val="626262"/>
                <w:sz w:val="20"/>
                <w:szCs w:val="20"/>
              </w:rPr>
              <w:t>(i)            сумма, определенная в соответствии с МСФО (IAS) 37; и</w:t>
            </w:r>
          </w:p>
          <w:p w:rsidR="00BB1376" w:rsidRDefault="00BB1376" w:rsidP="00BB1376">
            <w:pPr>
              <w:pStyle w:val="a3"/>
              <w:jc w:val="both"/>
              <w:rPr>
                <w:color w:val="626262"/>
                <w:sz w:val="20"/>
                <w:szCs w:val="20"/>
              </w:rPr>
            </w:pPr>
            <w:r>
              <w:rPr>
                <w:color w:val="626262"/>
                <w:sz w:val="20"/>
                <w:szCs w:val="20"/>
              </w:rPr>
              <w:t>(ii)           первоначально признанной суммы за вычетом, если это уместно, накопленной амортизации, признанной в соответствии с МСФО (IAS) 18 (см. пункт 47(c)).</w:t>
            </w:r>
          </w:p>
          <w:p w:rsidR="00BB1376" w:rsidRDefault="00BB1376" w:rsidP="00BB1376">
            <w:pPr>
              <w:pStyle w:val="a3"/>
              <w:jc w:val="both"/>
              <w:rPr>
                <w:color w:val="626262"/>
                <w:sz w:val="20"/>
                <w:szCs w:val="20"/>
              </w:rPr>
            </w:pPr>
            <w:r>
              <w:rPr>
                <w:color w:val="626262"/>
                <w:sz w:val="20"/>
                <w:szCs w:val="20"/>
              </w:rPr>
              <w:t>(b)           Некоторые гарантии по кредитам не требуют в качестве непременного условия для совершения платежа, чтобы держатель мог понести и понес убыток в связи с тем, что должник не совершил платежи по активу, являющемуся предметом гарантии, в установленный срок. Примером такой гарантии является гарантия, требующая совершения платежей в качестве ответной реакции на изменение определенного кредитного рейтинга или кредитного индекса. Такие гарантии не являются договорами финансовой гарантии в соответствии с определением, содержащимся в настоящем стандарте, и не являются договорами страхования в соответствии с определением, содержащимся в МСФО (IFRS) 4. Подобные гарантии представляют собой производные инструменты, и эмитент должен применять к ним настоящий стандарт.</w:t>
            </w:r>
          </w:p>
          <w:p w:rsidR="00BB1376" w:rsidRDefault="00BB1376" w:rsidP="00BB1376">
            <w:pPr>
              <w:pStyle w:val="a3"/>
              <w:jc w:val="both"/>
              <w:rPr>
                <w:color w:val="626262"/>
                <w:sz w:val="20"/>
                <w:szCs w:val="20"/>
              </w:rPr>
            </w:pPr>
            <w:r>
              <w:rPr>
                <w:color w:val="626262"/>
                <w:sz w:val="20"/>
                <w:szCs w:val="20"/>
              </w:rPr>
              <w:t>(c)           Если договор финансовой гарантии был заключен в связи с продажей товаров, эмитент применяет МСФО (IAS) 18 при определении того, когда ему следует признавать выручку от гарантии и от продажи товаров.</w:t>
            </w:r>
          </w:p>
          <w:p w:rsidR="00BB1376" w:rsidRDefault="00BB1376" w:rsidP="00BB1376">
            <w:pPr>
              <w:pStyle w:val="a3"/>
              <w:jc w:val="both"/>
              <w:rPr>
                <w:color w:val="626262"/>
                <w:sz w:val="20"/>
                <w:szCs w:val="20"/>
              </w:rPr>
            </w:pPr>
            <w:r>
              <w:rPr>
                <w:color w:val="626262"/>
                <w:sz w:val="20"/>
                <w:szCs w:val="20"/>
              </w:rPr>
              <w:t>AG4A     Утверждения, что эмитент рассматривает договоры в качестве договоров страхования, обычно содержатся в сообщениях, которыми эмитент обменивается с клиентами и регулирующими органами, договорах, деловой документации и финансовой отчетности. Кроме того, договоры страхования часто попадают под действие требований по учету, которые отличаются от требований, предъявляемых к прочим видам операций, таким, как договоры, заключенные банками или коммерческими фирмами. В этих случаях финансовая отчетность эмитента обычно содержит заявление о том, что эмитент соблюдает эти требования по учету.</w:t>
            </w:r>
          </w:p>
          <w:p w:rsidR="00BB1376" w:rsidRDefault="00BB1376" w:rsidP="00BB1376">
            <w:pPr>
              <w:pStyle w:val="a3"/>
              <w:jc w:val="both"/>
              <w:rPr>
                <w:color w:val="626262"/>
                <w:sz w:val="20"/>
                <w:szCs w:val="20"/>
              </w:rPr>
            </w:pPr>
            <w:r>
              <w:rPr>
                <w:color w:val="626262"/>
                <w:sz w:val="20"/>
                <w:szCs w:val="20"/>
              </w:rPr>
              <w:lastRenderedPageBreak/>
              <w:t>Определения (параграфы 8 и 9)</w:t>
            </w:r>
          </w:p>
          <w:p w:rsidR="00BB1376" w:rsidRDefault="00BB1376" w:rsidP="00BB1376">
            <w:pPr>
              <w:pStyle w:val="a3"/>
              <w:jc w:val="both"/>
              <w:rPr>
                <w:color w:val="626262"/>
                <w:sz w:val="20"/>
                <w:szCs w:val="20"/>
              </w:rPr>
            </w:pPr>
            <w:r>
              <w:rPr>
                <w:color w:val="626262"/>
                <w:sz w:val="20"/>
                <w:szCs w:val="20"/>
              </w:rPr>
              <w:t>Классификация статей как учитываемых по справедливой стоимости через прибыль или убыток</w:t>
            </w:r>
          </w:p>
          <w:p w:rsidR="00BB1376" w:rsidRDefault="00BB1376" w:rsidP="00BB1376">
            <w:pPr>
              <w:pStyle w:val="a3"/>
              <w:jc w:val="both"/>
              <w:rPr>
                <w:color w:val="626262"/>
                <w:sz w:val="20"/>
                <w:szCs w:val="20"/>
              </w:rPr>
            </w:pPr>
            <w:r>
              <w:rPr>
                <w:color w:val="626262"/>
                <w:sz w:val="20"/>
                <w:szCs w:val="20"/>
              </w:rPr>
              <w:t>AG4B     Пункт 9 настоящего стандарта позволяет эмитенту классифицировать финансовый актив, финансовое обязательство или группу финансовых инструментов (группу финансовых активов, группу финансовых обязательств и группу финансовых активов и финансовых обязательств) как учитываемые по справедливой стоимости через прибыль или убыток, при условии что это обеспечивает более уместную информацию.</w:t>
            </w:r>
          </w:p>
          <w:p w:rsidR="00BB1376" w:rsidRDefault="00BB1376" w:rsidP="00BB1376">
            <w:pPr>
              <w:pStyle w:val="a3"/>
              <w:jc w:val="both"/>
              <w:rPr>
                <w:color w:val="626262"/>
                <w:sz w:val="20"/>
                <w:szCs w:val="20"/>
              </w:rPr>
            </w:pPr>
            <w:r>
              <w:rPr>
                <w:color w:val="626262"/>
                <w:sz w:val="20"/>
                <w:szCs w:val="20"/>
              </w:rPr>
              <w:t>AG4C     Решение предприятия классифицировать финансовый актив или финансовое обязательство как учитываемые по справедливой стоимости через прибыль или убыток аналогично выбору учетной политики (хотя, в отличие от учетной политики, эту классификацию не требуется последовательно применять в отношении всех аналогичных операций). Если у предприятия есть право выбора, в соответствии с пунктом 14(b) МСФО (IAS) 8</w:t>
            </w:r>
            <w:r>
              <w:rPr>
                <w:rStyle w:val="apple-converted-space"/>
                <w:color w:val="626262"/>
                <w:sz w:val="20"/>
                <w:szCs w:val="20"/>
              </w:rPr>
              <w:t> </w:t>
            </w:r>
            <w:r>
              <w:rPr>
                <w:rStyle w:val="a5"/>
                <w:color w:val="626262"/>
                <w:sz w:val="20"/>
                <w:szCs w:val="20"/>
              </w:rPr>
              <w:t>«Учетная политика, изменения в расчетных оценках и ошибки»</w:t>
            </w:r>
            <w:r>
              <w:rPr>
                <w:rStyle w:val="apple-converted-space"/>
                <w:color w:val="626262"/>
                <w:sz w:val="20"/>
                <w:szCs w:val="20"/>
              </w:rPr>
              <w:t> </w:t>
            </w:r>
            <w:r>
              <w:rPr>
                <w:color w:val="626262"/>
                <w:sz w:val="20"/>
                <w:szCs w:val="20"/>
              </w:rPr>
              <w:t>выбранная политика должна обеспечивать, чтобы финансовая отчетность содержала более надежную и более уместную информацию о воздействии операций, прочих событий и условий на финансовое положение, финансовые результаты или движения денежных средств предприятия. В случае классификации финансовых инструментов как учитываемых по справедливой стоимости через прибыль или убыток пункт 9 определяет два условия, при которых выполняется требование по обеспечению более уместной информации. Соответственно, для того чтобы иметь возможность выбрать такую классификацию в соответствии с пунктом 9, предприятию нужно показать, что оно удовлетворяет одному (или обоим) из этих двух условий.</w:t>
            </w:r>
          </w:p>
          <w:tbl>
            <w:tblPr>
              <w:tblW w:w="0" w:type="auto"/>
              <w:tblCellSpacing w:w="0" w:type="dxa"/>
              <w:tblCellMar>
                <w:left w:w="0" w:type="dxa"/>
                <w:right w:w="0" w:type="dxa"/>
              </w:tblCellMar>
              <w:tblLook w:val="04A0"/>
            </w:tblPr>
            <w:tblGrid>
              <w:gridCol w:w="8565"/>
            </w:tblGrid>
            <w:tr w:rsidR="00BB1376" w:rsidTr="00BB1376">
              <w:trPr>
                <w:tblCellSpacing w:w="0" w:type="dxa"/>
              </w:trPr>
              <w:tc>
                <w:tcPr>
                  <w:tcW w:w="8565" w:type="dxa"/>
                  <w:hideMark/>
                </w:tcPr>
                <w:p w:rsidR="00BB1376" w:rsidRDefault="00BB1376">
                  <w:pPr>
                    <w:pStyle w:val="a3"/>
                    <w:rPr>
                      <w:color w:val="626262"/>
                      <w:sz w:val="20"/>
                      <w:szCs w:val="20"/>
                    </w:rPr>
                  </w:pPr>
                  <w:r>
                    <w:rPr>
                      <w:rStyle w:val="a5"/>
                      <w:color w:val="626262"/>
                      <w:sz w:val="20"/>
                      <w:szCs w:val="20"/>
                    </w:rPr>
                    <w:t>Пункт 9(b)(i): Определение устраняет или значительно уменьшает непоследовательность применения принципов измерения или признания, которая имеет место в противном случае</w:t>
                  </w:r>
                </w:p>
              </w:tc>
            </w:tr>
          </w:tbl>
          <w:p w:rsidR="00BB1376" w:rsidRDefault="00BB1376" w:rsidP="00BB1376">
            <w:pPr>
              <w:pStyle w:val="a3"/>
              <w:jc w:val="both"/>
              <w:rPr>
                <w:color w:val="626262"/>
                <w:sz w:val="20"/>
                <w:szCs w:val="20"/>
              </w:rPr>
            </w:pPr>
            <w:r>
              <w:rPr>
                <w:color w:val="626262"/>
                <w:sz w:val="20"/>
                <w:szCs w:val="20"/>
              </w:rPr>
              <w:t>AG4D     Согласно МСФО (IAS) 39 измерение финансового актива или финансового обязательства и классификация признанных изменений в его стоимости определяются на основе классификации соответствующей статьи и того, является ли эта статья частью классифицированного отношения хеджирования. Эти требования могут привести к возникновению непоследовательности применения принципов измерения или признания (иногда именуемой «учетным несоответствием»), когда, например, в отсутствие классификации как учитываемого по справедливой стоимости через прибыль или убыток, финансовый актив будет классифицироваться как имеющийся в наличие для продажи (с признанием большинства изменений в справедливой стоимости непосредственно в составе собственного капитала), а обязательство, которое предприятие считает связанным с таким активом, будет измеряться по амортизированной стоимости (без признания изменений в справедливой стоимости). При подобных обстоятельствах предприятие может прийти к заключению, что его финансовая отчетность будет обеспечивать более уместную информацию, если и актив, и обязательство будут классифицироваться как учитываемые по справедливой стоимости через прибыль или убыток.</w:t>
            </w:r>
          </w:p>
          <w:p w:rsidR="00BB1376" w:rsidRDefault="00BB1376" w:rsidP="00BB1376">
            <w:pPr>
              <w:pStyle w:val="a3"/>
              <w:jc w:val="both"/>
              <w:rPr>
                <w:color w:val="626262"/>
                <w:sz w:val="20"/>
                <w:szCs w:val="20"/>
              </w:rPr>
            </w:pPr>
            <w:r>
              <w:rPr>
                <w:color w:val="626262"/>
                <w:sz w:val="20"/>
                <w:szCs w:val="20"/>
              </w:rPr>
              <w:t>AG4E     Приведенные ниже примеры показывают, когда это условие выполнимо. Во всех случаях предприятие может использовать данное условие для классификации финансовых активов или финансовых обязательств как учитываемых по справедливой стоимости через прибыль или убыток, только если оно соблюдает принцип, установленный пунктом 9(b)(i).</w:t>
            </w:r>
          </w:p>
          <w:p w:rsidR="00BB1376" w:rsidRDefault="00BB1376" w:rsidP="00BB1376">
            <w:pPr>
              <w:pStyle w:val="a3"/>
              <w:jc w:val="both"/>
              <w:rPr>
                <w:color w:val="626262"/>
                <w:sz w:val="20"/>
                <w:szCs w:val="20"/>
              </w:rPr>
            </w:pPr>
            <w:r>
              <w:rPr>
                <w:color w:val="626262"/>
                <w:sz w:val="20"/>
                <w:szCs w:val="20"/>
              </w:rPr>
              <w:t>(а)           У предприятия имеются обязательства с потоками денежных средств, обусловленными в соответствии с договором зависят поведением активов, которые классифицировались бы в противном случае как имеющиеся в наличии для продажи. Например, у страховой компании могут быть обязательства, содержащие в себе возможность участия по усмотрению, когда выплаты производятся на основе реализованных и/или нереализованных инвестиционных доходов по определенной группе активов страховой компании. Если измерение этих обязательств отражает текущие рыночные цены, классификация активов как учитываемых по справедливой стоимости через прибыль или убыток означает, что изменения в справедливой стоимости финансовых активов признаются в составе прибыли или убытка за тот же период, что и соответствующие изменения в справедливой стоимости обязательств.</w:t>
            </w:r>
          </w:p>
          <w:p w:rsidR="00BB1376" w:rsidRDefault="00BB1376" w:rsidP="00BB1376">
            <w:pPr>
              <w:pStyle w:val="a3"/>
              <w:jc w:val="both"/>
              <w:rPr>
                <w:color w:val="626262"/>
                <w:sz w:val="20"/>
                <w:szCs w:val="20"/>
              </w:rPr>
            </w:pPr>
            <w:r>
              <w:rPr>
                <w:color w:val="626262"/>
                <w:sz w:val="20"/>
                <w:szCs w:val="20"/>
              </w:rPr>
              <w:t>(b)           У предприятия есть обязательства по договорам страхования, измерение которых включает текущую информацию (в соответствии с пунктом 24 МСФО (IFRS) 4</w:t>
            </w:r>
            <w:r>
              <w:rPr>
                <w:rStyle w:val="apple-converted-space"/>
                <w:color w:val="626262"/>
                <w:sz w:val="20"/>
                <w:szCs w:val="20"/>
              </w:rPr>
              <w:t> </w:t>
            </w:r>
            <w:r>
              <w:rPr>
                <w:rStyle w:val="a5"/>
                <w:color w:val="626262"/>
                <w:sz w:val="20"/>
                <w:szCs w:val="20"/>
              </w:rPr>
              <w:t>«Договоры страхования»)</w:t>
            </w:r>
            <w:r>
              <w:rPr>
                <w:color w:val="626262"/>
                <w:sz w:val="20"/>
                <w:szCs w:val="20"/>
              </w:rPr>
              <w:t>, и финансовые активы, которые оно считает связанными с такими обязательствами и которые в противном случае классифицировались бы как имеющие в наличии для продажи или измерялись бы по амортизированной стоимости.</w:t>
            </w:r>
          </w:p>
          <w:p w:rsidR="00BB1376" w:rsidRDefault="00BB1376" w:rsidP="00BB1376">
            <w:pPr>
              <w:pStyle w:val="a3"/>
              <w:jc w:val="both"/>
              <w:rPr>
                <w:color w:val="626262"/>
                <w:sz w:val="20"/>
                <w:szCs w:val="20"/>
              </w:rPr>
            </w:pPr>
            <w:r>
              <w:rPr>
                <w:color w:val="626262"/>
                <w:sz w:val="20"/>
                <w:szCs w:val="20"/>
              </w:rPr>
              <w:lastRenderedPageBreak/>
              <w:t>(c)           У предприятия есть финансовые активы, финансовые обязательства или и финансовые активы, и финансовые обязательства, подверженные общему риску, например, процентному риску, который вызывает противонаправленные изменения в справедливой стоимости, имеющие тенденцию к взаимной компенсации. Тем не менее, только часть инструментов будут измеряться по справедливой стоимости через прибыль или убыток (т.е. являющиеся производными инструментами или классифицируемые как предназначенные для торговли). Также может сложиться ситуация, когда требования для учета хеджирования не выполняются, например, в связи с невыполнением требований в отношении эффективности, установленных в пункте 88.</w:t>
            </w:r>
          </w:p>
          <w:p w:rsidR="00BB1376" w:rsidRDefault="00BB1376" w:rsidP="00BB1376">
            <w:pPr>
              <w:pStyle w:val="a3"/>
              <w:jc w:val="both"/>
              <w:rPr>
                <w:color w:val="626262"/>
                <w:sz w:val="20"/>
                <w:szCs w:val="20"/>
              </w:rPr>
            </w:pPr>
            <w:r>
              <w:rPr>
                <w:color w:val="626262"/>
                <w:sz w:val="20"/>
                <w:szCs w:val="20"/>
              </w:rPr>
              <w:t>(d)           У предприятия есть финансовые активы, финансовые обязательства или и финансовые активы, и финансовые обязательства, подверженные общему риску, например, процентному риску, который вызывает противонаправленные изменения в справедливой стоимости, имеющие тенденцию к взаимной компенсации, и предприятие не удовлетворяет критериям для учета хеджирования, поскольку ни один из этих инструментов не является производным инструментом. Кроме того, в отсутствие учета хеджирования имеет место значительное несоответствие при признании прибылей и убытков. Например:</w:t>
            </w:r>
          </w:p>
          <w:p w:rsidR="00BB1376" w:rsidRDefault="00BB1376" w:rsidP="00BB1376">
            <w:pPr>
              <w:pStyle w:val="a3"/>
              <w:jc w:val="both"/>
              <w:rPr>
                <w:color w:val="626262"/>
                <w:sz w:val="20"/>
                <w:szCs w:val="20"/>
              </w:rPr>
            </w:pPr>
            <w:r>
              <w:rPr>
                <w:color w:val="626262"/>
                <w:sz w:val="20"/>
                <w:szCs w:val="20"/>
              </w:rPr>
              <w:t>(i)            предприятие профинансировало портфель активов с фиксированной ставкой, которые в противном случае классифицировались бы как имеющиеся в наличии для продажи, при помощи долговых обязательств с фиксированной ставкой, и изменения в справедливой стоимости таких активов и обязательств имеют тенденцию к взаимной компенсации. Учет и активов, и долговых обязательств по справедливой стоимости через прибыль или убыток исправляет несоответствие, которое в противном случае возникало бы в результате измерения активов по справедливой стоимости с отражением изменений в составе собственного капитала, а долговых обязательств - по амортизированной стоимости.</w:t>
            </w:r>
          </w:p>
          <w:p w:rsidR="00BB1376" w:rsidRDefault="00BB1376" w:rsidP="00BB1376">
            <w:pPr>
              <w:pStyle w:val="a3"/>
              <w:jc w:val="both"/>
              <w:rPr>
                <w:color w:val="626262"/>
                <w:sz w:val="20"/>
                <w:szCs w:val="20"/>
              </w:rPr>
            </w:pPr>
            <w:r>
              <w:rPr>
                <w:color w:val="626262"/>
                <w:sz w:val="20"/>
                <w:szCs w:val="20"/>
              </w:rPr>
              <w:t>(ii)           предприятие профинансировало определенную группу займов путем выпуска обращающихся на рынке облигаций, и изменения в справедливой стоимости таких активов и обязательств имеют тенденцию к взаимной компенсации. Если в дополнение к этому предприятие регулярно покупает и продает облигации, но редко покупает и продает займы, если вообще это делает, отражение в учете и займов, и облигаций по справедливой стоимости через прибыль или убыток ликвидирует несоответствие в сроках признания прибылей и убытков, которое в противном случае возникало бы в связи с измерением и займов, и облигаций по амортизированной стоимости и признанием прибыли или убытка в каждом случае выкупа облигации.</w:t>
            </w:r>
          </w:p>
          <w:p w:rsidR="00BB1376" w:rsidRDefault="00BB1376" w:rsidP="00BB1376">
            <w:pPr>
              <w:pStyle w:val="a3"/>
              <w:jc w:val="both"/>
              <w:rPr>
                <w:color w:val="626262"/>
                <w:sz w:val="20"/>
                <w:szCs w:val="20"/>
              </w:rPr>
            </w:pPr>
            <w:r>
              <w:rPr>
                <w:color w:val="626262"/>
                <w:sz w:val="20"/>
                <w:szCs w:val="20"/>
              </w:rPr>
              <w:t>AG4F     В случаях, аналогичных описанному в предыдущем пункте, классификация финансовых активов и финансовых обязательств, которые в противном случае измерялись бы иначе, как финансовых активов и финансовых обязательств, учитываемых по справедливой стоимости через прибыль или убыток, при первоначальном признании может ликвидировать или значительно сократить непоследовательность применения принципов измерения или признания и обеспечить более уместную информацию. В практических целях предприятие не обязано одновременно заключать все сделки по активам и обязательствам, приводящим к возникновению непоследовательности применения принципов измерения или признания. Допускается небольшой временной разрыв, при условии что каждая сделка классифицируется как учитываемая по справедливой стоимости через прибыль или убыток при первоначальном признании и что в этот момент предприятие оценивает все остающиеся сделки как вероятные.</w:t>
            </w:r>
          </w:p>
          <w:p w:rsidR="00BB1376" w:rsidRDefault="00BB1376" w:rsidP="00BB1376">
            <w:pPr>
              <w:pStyle w:val="a3"/>
              <w:jc w:val="both"/>
              <w:rPr>
                <w:color w:val="626262"/>
                <w:sz w:val="20"/>
                <w:szCs w:val="20"/>
              </w:rPr>
            </w:pPr>
            <w:r>
              <w:rPr>
                <w:color w:val="626262"/>
                <w:sz w:val="20"/>
                <w:szCs w:val="20"/>
              </w:rPr>
              <w:t>AG4G     Если классификация лишь части финансовых активов и финансовых обязательств, приводящих к возникновению несоответствия, как учитываемых по справедливой стоимости через прибыль или убыток не обеспечивает ликвидации или значительного сокращения этого несоответствия и, следовательно, более уместной информации, то производить такую классификацию не разрешается. При этом разрешается производить классификацию лишь части из определенного количества аналогичных финансовых активов или аналогичных финансовых обязательств, если это приводит к значительному сокращению (возможно, даже большему, чем в состоянии обеспечить все прочие разрешенные способы классификации) несоответствия. Допустим, например, что у предприятия есть определенное количество аналогичных финансовых обязательств, в сумме составляющих 100 д. е., и определенное количество аналогичных финансовых активов, в сумме составляющих 50 д. е., но измеряемых с использованием другой базы.</w:t>
            </w:r>
            <w:bookmarkStart w:id="2" w:name="_ftnref3"/>
            <w:r>
              <w:rPr>
                <w:color w:val="626262"/>
                <w:sz w:val="20"/>
                <w:szCs w:val="20"/>
              </w:rPr>
              <w:fldChar w:fldCharType="begin"/>
            </w:r>
            <w:r>
              <w:rPr>
                <w:color w:val="626262"/>
                <w:sz w:val="20"/>
                <w:szCs w:val="20"/>
              </w:rPr>
              <w:instrText xml:space="preserve"> HYPERLINK "http://www.kz-adviser.kz/official/32-ifrs/207-ias39" \l "_ftn3" </w:instrText>
            </w:r>
            <w:r>
              <w:rPr>
                <w:color w:val="626262"/>
                <w:sz w:val="20"/>
                <w:szCs w:val="20"/>
              </w:rPr>
              <w:fldChar w:fldCharType="separate"/>
            </w:r>
            <w:r>
              <w:rPr>
                <w:rStyle w:val="a6"/>
                <w:sz w:val="20"/>
                <w:szCs w:val="20"/>
              </w:rPr>
              <w:t>[‡]</w:t>
            </w:r>
            <w:r>
              <w:rPr>
                <w:color w:val="626262"/>
                <w:sz w:val="20"/>
                <w:szCs w:val="20"/>
              </w:rPr>
              <w:fldChar w:fldCharType="end"/>
            </w:r>
            <w:bookmarkEnd w:id="2"/>
            <w:r>
              <w:rPr>
                <w:color w:val="626262"/>
                <w:sz w:val="20"/>
                <w:szCs w:val="20"/>
              </w:rPr>
              <w:t xml:space="preserve">Предприятие может значительно сократить несоответствие измерения, если при первоначальном признании будет классифицировать как учитываемые по справедливой стоимости через прибыль или убыток все активы, но лишь часть обязательств (например, отдельные обязательства, в сумме составляющие 45 д. е.). Однако поскольку только весь финансовый инструмент может быть классифицирован как учитываемый по справедливой стоимости через прибыль или убыток, в представленном выше примере предприятие обязано классифицировать указанным образом целиком одно или более обязательств. Оно не может проводить классификацию применительно к отдельному компоненту обязательства (например, изменения в стоимости, приписываемые только одному виду риска, такие, как изменения в процентной </w:t>
            </w:r>
            <w:r>
              <w:rPr>
                <w:color w:val="626262"/>
                <w:sz w:val="20"/>
                <w:szCs w:val="20"/>
              </w:rPr>
              <w:lastRenderedPageBreak/>
              <w:t>ставке-ориентире) или к какой-либо доле (т.е. проценту) обязательства.</w:t>
            </w:r>
          </w:p>
          <w:tbl>
            <w:tblPr>
              <w:tblW w:w="0" w:type="auto"/>
              <w:tblCellSpacing w:w="0" w:type="dxa"/>
              <w:tblCellMar>
                <w:left w:w="0" w:type="dxa"/>
                <w:right w:w="0" w:type="dxa"/>
              </w:tblCellMar>
              <w:tblLook w:val="04A0"/>
            </w:tblPr>
            <w:tblGrid>
              <w:gridCol w:w="8565"/>
            </w:tblGrid>
            <w:tr w:rsidR="00BB1376" w:rsidTr="00BB1376">
              <w:trPr>
                <w:tblCellSpacing w:w="0" w:type="dxa"/>
              </w:trPr>
              <w:tc>
                <w:tcPr>
                  <w:tcW w:w="8565" w:type="dxa"/>
                  <w:hideMark/>
                </w:tcPr>
                <w:p w:rsidR="00BB1376" w:rsidRDefault="00BB1376">
                  <w:pPr>
                    <w:pStyle w:val="a3"/>
                    <w:rPr>
                      <w:color w:val="626262"/>
                      <w:sz w:val="20"/>
                      <w:szCs w:val="20"/>
                    </w:rPr>
                  </w:pPr>
                  <w:r>
                    <w:rPr>
                      <w:rStyle w:val="a5"/>
                      <w:color w:val="626262"/>
                      <w:sz w:val="20"/>
                      <w:szCs w:val="20"/>
                    </w:rPr>
                    <w:t>Пункт 9(b)(ii): Управление группой финансовых активов, группой финансовых обязательств или группой финансовых активов и финансовых обязательств и оценка финансовых результатов по такой группе осуществляются на основе справедливой стоимости в соответствии с задокументированной стратегией управления рисками или инвестиционной стратегией</w:t>
                  </w:r>
                </w:p>
              </w:tc>
            </w:tr>
          </w:tbl>
          <w:p w:rsidR="00BB1376" w:rsidRDefault="00BB1376" w:rsidP="00BB1376">
            <w:pPr>
              <w:pStyle w:val="a3"/>
              <w:jc w:val="both"/>
              <w:rPr>
                <w:color w:val="626262"/>
                <w:sz w:val="20"/>
                <w:szCs w:val="20"/>
              </w:rPr>
            </w:pPr>
            <w:r>
              <w:rPr>
                <w:color w:val="626262"/>
                <w:sz w:val="20"/>
                <w:szCs w:val="20"/>
              </w:rPr>
              <w:t>AG4H    Предприятие может управлять группой финансовых активов, группой финансовых обязательств или группой финансовых активов и финансовых обязательств и оценивать относящиеся к ней результаты таким образом, что измерение этой группы по справедливой стоимости через прибыль или убыток обеспечит более уместную информацию. В данном случае акцент делается скорее на том, каким образом предприятие осуществляет управление и оценку результатов, нежели на характере его финансовых инструментов.</w:t>
            </w:r>
          </w:p>
          <w:p w:rsidR="00BB1376" w:rsidRDefault="00BB1376" w:rsidP="00BB1376">
            <w:pPr>
              <w:pStyle w:val="a3"/>
              <w:jc w:val="both"/>
              <w:rPr>
                <w:color w:val="626262"/>
                <w:sz w:val="20"/>
                <w:szCs w:val="20"/>
              </w:rPr>
            </w:pPr>
            <w:r>
              <w:rPr>
                <w:color w:val="626262"/>
                <w:sz w:val="20"/>
                <w:szCs w:val="20"/>
              </w:rPr>
              <w:t>AG4I      Приведенные ниже примеры показывают, когда это условие выполнимо. Во всех случаях предприятие может использовать данное условие для классификации финансовых активов или финансовых обязательств как учитываемых по справедливой стоимости через прибыль или убыток, только если оно соблюдает принцип, установленный пунктом 9(b)(ii).</w:t>
            </w:r>
          </w:p>
          <w:p w:rsidR="00BB1376" w:rsidRDefault="00BB1376" w:rsidP="00BB1376">
            <w:pPr>
              <w:pStyle w:val="a3"/>
              <w:jc w:val="both"/>
              <w:rPr>
                <w:color w:val="626262"/>
                <w:sz w:val="20"/>
                <w:szCs w:val="20"/>
              </w:rPr>
            </w:pPr>
            <w:r>
              <w:rPr>
                <w:color w:val="626262"/>
                <w:sz w:val="20"/>
                <w:szCs w:val="20"/>
              </w:rPr>
              <w:t>(а)           Предприятие является венчурной организацией, взаимным фондом, паевым фондом или аналогичным предприятием, чья деятельность заключается в осуществлении инвестиций в</w:t>
            </w:r>
            <w:r>
              <w:rPr>
                <w:rStyle w:val="apple-converted-space"/>
                <w:color w:val="626262"/>
                <w:sz w:val="20"/>
                <w:szCs w:val="20"/>
              </w:rPr>
              <w:t> </w:t>
            </w:r>
            <w:bookmarkStart w:id="3" w:name="_ftnref4"/>
            <w:r>
              <w:rPr>
                <w:color w:val="626262"/>
                <w:sz w:val="20"/>
                <w:szCs w:val="20"/>
              </w:rPr>
              <w:fldChar w:fldCharType="begin"/>
            </w:r>
            <w:r>
              <w:rPr>
                <w:color w:val="626262"/>
                <w:sz w:val="20"/>
                <w:szCs w:val="20"/>
              </w:rPr>
              <w:instrText xml:space="preserve"> HYPERLINK "http://www.kz-adviser.kz/official/32-ifrs/207-ias39" \l "_ftn4" </w:instrText>
            </w:r>
            <w:r>
              <w:rPr>
                <w:color w:val="626262"/>
                <w:sz w:val="20"/>
                <w:szCs w:val="20"/>
              </w:rPr>
              <w:fldChar w:fldCharType="separate"/>
            </w:r>
            <w:r>
              <w:rPr>
                <w:rStyle w:val="a6"/>
                <w:sz w:val="20"/>
                <w:szCs w:val="20"/>
              </w:rPr>
              <w:t>[§]</w:t>
            </w:r>
            <w:r>
              <w:rPr>
                <w:color w:val="626262"/>
                <w:sz w:val="20"/>
                <w:szCs w:val="20"/>
              </w:rPr>
              <w:fldChar w:fldCharType="end"/>
            </w:r>
            <w:bookmarkEnd w:id="3"/>
            <w:r>
              <w:rPr>
                <w:color w:val="626262"/>
                <w:sz w:val="20"/>
                <w:szCs w:val="20"/>
              </w:rPr>
              <w:t>финансовые активы с целью извлечения прибыли из общего дохода по ним в форме процентов или дивидендов и изменений в справедливой стоимости. МСФО (IAS) 28</w:t>
            </w:r>
            <w:r>
              <w:rPr>
                <w:rStyle w:val="apple-converted-space"/>
                <w:color w:val="626262"/>
                <w:sz w:val="20"/>
                <w:szCs w:val="20"/>
              </w:rPr>
              <w:t> </w:t>
            </w:r>
            <w:r>
              <w:rPr>
                <w:rStyle w:val="a5"/>
                <w:color w:val="626262"/>
                <w:sz w:val="20"/>
                <w:szCs w:val="20"/>
              </w:rPr>
              <w:t>«Инвестиции в ассоциированные предприятия»</w:t>
            </w:r>
            <w:r>
              <w:rPr>
                <w:rStyle w:val="apple-converted-space"/>
                <w:color w:val="626262"/>
                <w:sz w:val="20"/>
                <w:szCs w:val="20"/>
              </w:rPr>
              <w:t> </w:t>
            </w:r>
            <w:r>
              <w:rPr>
                <w:color w:val="626262"/>
                <w:sz w:val="20"/>
                <w:szCs w:val="20"/>
              </w:rPr>
              <w:t>и МСФО (IAS) 31</w:t>
            </w:r>
            <w:r>
              <w:rPr>
                <w:rStyle w:val="apple-converted-space"/>
                <w:color w:val="626262"/>
                <w:sz w:val="20"/>
                <w:szCs w:val="20"/>
              </w:rPr>
              <w:t> </w:t>
            </w:r>
            <w:r>
              <w:rPr>
                <w:rStyle w:val="a5"/>
                <w:color w:val="626262"/>
                <w:sz w:val="20"/>
                <w:szCs w:val="20"/>
              </w:rPr>
              <w:t>«Участие в совместном предпринимательстве»</w:t>
            </w:r>
            <w:r>
              <w:rPr>
                <w:rStyle w:val="apple-converted-space"/>
                <w:color w:val="626262"/>
                <w:sz w:val="20"/>
                <w:szCs w:val="20"/>
              </w:rPr>
              <w:t> </w:t>
            </w:r>
            <w:r>
              <w:rPr>
                <w:color w:val="626262"/>
                <w:sz w:val="20"/>
                <w:szCs w:val="20"/>
              </w:rPr>
              <w:t>разрешают исключать такие инвестиции из сферы своего применения, при условии что они измеряются по справедливой стоимости через прибыль или убыток. Предприятие может применять ту же учетную политику и в отношении прочих инвестиций, управление которыми основано на общем доходе, но степень влияния предприятия на которые недостаточна для того, чтобы они могли входить в сферу применения МСФО (IAS) 28 или МСФО (IAS) 31.</w:t>
            </w:r>
          </w:p>
          <w:p w:rsidR="00BB1376" w:rsidRDefault="00BB1376" w:rsidP="00BB1376">
            <w:pPr>
              <w:pStyle w:val="a3"/>
              <w:jc w:val="both"/>
              <w:rPr>
                <w:color w:val="626262"/>
                <w:sz w:val="20"/>
                <w:szCs w:val="20"/>
              </w:rPr>
            </w:pPr>
            <w:r>
              <w:rPr>
                <w:color w:val="626262"/>
                <w:sz w:val="20"/>
                <w:szCs w:val="20"/>
              </w:rPr>
              <w:t>(b)           У предприятия есть финансовые активы и финансовые обязательства, подверженные одному или более общим рискам, а управление этими рисками и их оценка производятся на основе справедливой стоимости в соответствии с задокументированной политикой управления активами и обязательствами. В качестве примера можно рассмотреть предприятие, которое выпускает «структурированные продукты», содержащие множественные встроенные производные инструменты, и управляет связанными с ними рисками на основе справедливой стоимости с использованием комбинации производных и непроизводных финансовых инструментов. Аналогичным примером может быть предприятие, которое предоставляет займы с фиксированной процентной ставкой и управляет связанным с ними риском изменения процентной ставки-ориентира с использованием комбинации производных и непроизводных финансовых инструментов.</w:t>
            </w:r>
          </w:p>
          <w:p w:rsidR="00BB1376" w:rsidRDefault="00BB1376" w:rsidP="00BB1376">
            <w:pPr>
              <w:pStyle w:val="a3"/>
              <w:jc w:val="both"/>
              <w:rPr>
                <w:color w:val="626262"/>
                <w:sz w:val="20"/>
                <w:szCs w:val="20"/>
              </w:rPr>
            </w:pPr>
            <w:r>
              <w:rPr>
                <w:color w:val="626262"/>
                <w:sz w:val="20"/>
                <w:szCs w:val="20"/>
              </w:rPr>
              <w:t>(c)           Предприятие является страховой компанией, которая держит портфель финансовых активов, управляет этим портфелем с целью максимизации общего дохода (т.е. процентов или дивидендов и изменений в справедливой стоимости) и оценивает результаты по портфелю на этой основе. Портфель может быть предназначен для поддержки конкретных обязательств, собственного капитала или и того, и другого. Если портфель предназначен для поддержки конкретных обязательств, то установленное пунктом 9(b)(ii) условие может выполняться в отношении активов вне зависимости от того, использует ли страховая компания справедливую стоимость и для управления и оценки обязательств или же нет. Условие пункта 9(b)(ii) может выполняться в случаях, когда целью страховой компании является максимизация общего дохода по активам в долгосрочной перспективе, даже если суммы, выплаченные держателям договоров участия, зависят от других факторов, таких, как сумма доходов, реализованных за более короткий период (например, год), или определяются по усмотрению страховой компании.</w:t>
            </w:r>
          </w:p>
          <w:p w:rsidR="00BB1376" w:rsidRDefault="00BB1376" w:rsidP="00BB1376">
            <w:pPr>
              <w:pStyle w:val="a3"/>
              <w:jc w:val="both"/>
              <w:rPr>
                <w:color w:val="626262"/>
                <w:sz w:val="20"/>
                <w:szCs w:val="20"/>
              </w:rPr>
            </w:pPr>
            <w:r>
              <w:rPr>
                <w:color w:val="626262"/>
                <w:sz w:val="20"/>
                <w:szCs w:val="20"/>
              </w:rPr>
              <w:t>AG4J      Как указывалось выше, выполнение этого условия зависит от того, каким образом предприятие управляет рассматриваемой группой финансовых инструментов и оценивает связанные с ней результаты. Соответственно, (с учетом требования произвести классификацию при первоначальном признании) предприятие, классифицирующее финансовые инструменты как учитываемые по справедливой стоимости через прибыль или убыток на основе этого условия, должно аналогичным образом классифицировать все удовлетворяющие установленным критериям финансовые инструменты, в отношении которых осуществляется общее управление и оценка.</w:t>
            </w:r>
          </w:p>
          <w:p w:rsidR="00BB1376" w:rsidRDefault="00BB1376" w:rsidP="00BB1376">
            <w:pPr>
              <w:pStyle w:val="a3"/>
              <w:jc w:val="both"/>
              <w:rPr>
                <w:color w:val="626262"/>
                <w:sz w:val="20"/>
                <w:szCs w:val="20"/>
              </w:rPr>
            </w:pPr>
            <w:r>
              <w:rPr>
                <w:color w:val="626262"/>
                <w:sz w:val="20"/>
                <w:szCs w:val="20"/>
              </w:rPr>
              <w:t xml:space="preserve">AG4K    Документ, регламентирующий стратегию предприятия, необязательно должен быть объемным, однако он должен быть достаточным для того, чтобы продемонстрировать соблюдение пункта 9(b)(ii). </w:t>
            </w:r>
            <w:r>
              <w:rPr>
                <w:color w:val="626262"/>
                <w:sz w:val="20"/>
                <w:szCs w:val="20"/>
              </w:rPr>
              <w:lastRenderedPageBreak/>
              <w:t>Подобная документация по каждой отдельной статье не требуется, документ может относиться ко всему портфелю в целом. Например, если система управления результатами деятельности подразделения, утвержденная ключевыми членами руководящего персонала предприятия, явно свидетельствует о том, что результаты его деятельности оцениваются на основе общего дохода, дополнительной документации, демонстрирующей соблюдение пункта 9(b)(ii), не требуется.</w:t>
            </w:r>
          </w:p>
          <w:p w:rsidR="00BB1376" w:rsidRDefault="00BB1376" w:rsidP="00BB1376">
            <w:pPr>
              <w:pStyle w:val="a3"/>
              <w:jc w:val="both"/>
              <w:rPr>
                <w:color w:val="626262"/>
                <w:sz w:val="20"/>
                <w:szCs w:val="20"/>
              </w:rPr>
            </w:pPr>
            <w:r>
              <w:rPr>
                <w:color w:val="626262"/>
                <w:sz w:val="20"/>
                <w:szCs w:val="20"/>
              </w:rPr>
              <w:t>Эффективная ставка процента</w:t>
            </w:r>
          </w:p>
          <w:p w:rsidR="00BB1376" w:rsidRDefault="00BB1376" w:rsidP="00BB1376">
            <w:pPr>
              <w:pStyle w:val="a3"/>
              <w:jc w:val="both"/>
              <w:rPr>
                <w:color w:val="626262"/>
                <w:sz w:val="20"/>
                <w:szCs w:val="20"/>
              </w:rPr>
            </w:pPr>
            <w:r>
              <w:rPr>
                <w:color w:val="626262"/>
                <w:sz w:val="20"/>
                <w:szCs w:val="20"/>
              </w:rPr>
              <w:t>AG5        В некоторых случаях финансовые активы приобретаются по значительно сниженной цене, которая отражает понесенные кредитные потери. Предприятия включают такие понесенные кредитные потери в расчетные потоки денежных средств при определении эффективной ставки процента.</w:t>
            </w:r>
          </w:p>
          <w:p w:rsidR="00BB1376" w:rsidRDefault="00BB1376" w:rsidP="00BB1376">
            <w:pPr>
              <w:pStyle w:val="a3"/>
              <w:jc w:val="both"/>
              <w:rPr>
                <w:color w:val="626262"/>
                <w:sz w:val="20"/>
                <w:szCs w:val="20"/>
              </w:rPr>
            </w:pPr>
            <w:r>
              <w:rPr>
                <w:color w:val="626262"/>
                <w:sz w:val="20"/>
                <w:szCs w:val="20"/>
              </w:rPr>
              <w:t>AG6        При применении метода эффективной ставки процента предприятие обычно амортизирует все вознаграждения и прочие суммы, выплаченные или полученные, затраты по сделке и другие премии или скидки, включенные в расчет эффективной ставки процента, на протяжении ожидаемого периода существования инструмента. Однако если вознаграждения и другие суммы, выплаченные или полученные, затраты по сделке, премии или скидки относятся к более короткому периоду, то применяется этот период. Такая ситуация возникает, если переменная, к которой относятся вознаграждения и другие суммы, выплаченные или полученные, затраты по сделке, премии или скидки, переоценивается по рыночным ставкам до ожидаемого окончания срока действия инструмента. В этом случае подходящим периодом амортизации является период до следующей даты такой переоценки. Например, если премия или скидка по инструменту с плавающей ставкой отражает проценты, начисленные по этому инструменту с последней даты выплаты процентов, или изменения рыночных ставок с того момента, когда плавающая ставка процента была приведена в соответствие с рыночными ставками, она будет амортизироваться в течение периода до следующей даты приведения плавающей ставки в соответствие с рыночными ставками. Это связано с тем, что премия или скидка относится к периоду до следующей даты обновления процентной ставки, потому что на эту дату переменная, к которой относится премия или скидка (т.е. ставки процента), приводится в соответствие с рыночными ставками. Однако если премия или скидка является результатом изменения кредитного спрэда на плавающую ставку, указанную в инструменте, или других переменных, не приводимых в соответствие с рыночными ставками, то она амортизируется на протяжении ожидаемого срока действия инструмента.</w:t>
            </w:r>
          </w:p>
          <w:p w:rsidR="00BB1376" w:rsidRDefault="00BB1376" w:rsidP="00BB1376">
            <w:pPr>
              <w:pStyle w:val="a3"/>
              <w:jc w:val="both"/>
              <w:rPr>
                <w:color w:val="626262"/>
                <w:sz w:val="20"/>
                <w:szCs w:val="20"/>
              </w:rPr>
            </w:pPr>
            <w:r>
              <w:rPr>
                <w:color w:val="626262"/>
                <w:sz w:val="20"/>
                <w:szCs w:val="20"/>
              </w:rPr>
              <w:t>AG7        По финансовым активам и финансовым обязательствам с плавающей процентной ставкой периодическая переоценка денежных потоков с целью отражения движения рыночных процентных ставок приводит к изменению эффективной ставки процента. Если финансовый актив или финансовое обязательство с плавающей процентной ставкой первоначально признается в размере, равном основной сумме, подлежащей получению или выплате при наступлении срока, то переоценка будущих процентных выплат обычно не оказывает значительного влияния на балансовую стоимость актива или обязательства.</w:t>
            </w:r>
          </w:p>
          <w:p w:rsidR="00BB1376" w:rsidRDefault="00BB1376" w:rsidP="00BB1376">
            <w:pPr>
              <w:pStyle w:val="a3"/>
              <w:jc w:val="both"/>
              <w:rPr>
                <w:color w:val="626262"/>
                <w:sz w:val="20"/>
                <w:szCs w:val="20"/>
              </w:rPr>
            </w:pPr>
            <w:r>
              <w:rPr>
                <w:color w:val="626262"/>
                <w:sz w:val="20"/>
                <w:szCs w:val="20"/>
              </w:rPr>
              <w:t>AG8        Если предприятие пересматривает расчетные суммы выплат или поступлений, то оно должно скорректировать балансовую стоимость финансового актива или финансового обязательства (или группы финансовых инструментов) с тем, чтобы отразить фактические и пересмотренные расчетные денежные потоки. Предприятие пересчитывает балансовую стоимость путем расчета приведенной стоимости предполагаемых будущих потоков денежных средств по первоначальной эффективной ставке процента финансового инструмента. Величина корректировки признается как доход или расход в составе прибыли или убытка.</w:t>
            </w:r>
          </w:p>
          <w:p w:rsidR="00BB1376" w:rsidRDefault="00BB1376" w:rsidP="00BB1376">
            <w:pPr>
              <w:pStyle w:val="a3"/>
              <w:jc w:val="both"/>
              <w:rPr>
                <w:color w:val="626262"/>
                <w:sz w:val="20"/>
                <w:szCs w:val="20"/>
              </w:rPr>
            </w:pPr>
            <w:r>
              <w:rPr>
                <w:color w:val="626262"/>
                <w:sz w:val="20"/>
                <w:szCs w:val="20"/>
              </w:rPr>
              <w:t>Производные инструменты</w:t>
            </w:r>
          </w:p>
          <w:p w:rsidR="00BB1376" w:rsidRDefault="00BB1376" w:rsidP="00BB1376">
            <w:pPr>
              <w:pStyle w:val="a3"/>
              <w:jc w:val="both"/>
              <w:rPr>
                <w:color w:val="626262"/>
                <w:sz w:val="20"/>
                <w:szCs w:val="20"/>
              </w:rPr>
            </w:pPr>
            <w:r>
              <w:rPr>
                <w:color w:val="626262"/>
                <w:sz w:val="20"/>
                <w:szCs w:val="20"/>
              </w:rPr>
              <w:t>AG9        Типичными примерами производных инструментов являются фьючерсные, форвардные, опционные контракты и свопы. У производного инструмента обычно имеется условная сумма, т.е. сумма валюты, количество акций, число единиц веса, объема или других единиц, указанных в контракте. Однако, в соответствии с условиями производного инструмента инвестор или эмитент не обязаны инвестировать или, наоборот, получать условную сумму в момент заключения договора. В качестве альтернативы производный инструмент может предусматривать осуществление выплаты фиксированной суммы, либо суммы, которая может меняться (но не пропорционально изменению лежащей в основе суммы) в результате наступления определенного события в будущем, не связанного с условной суммой. Например, договор может предусматривать уплату заранее определенной суммы в размере 1 000 д.е.</w:t>
            </w:r>
            <w:bookmarkStart w:id="4" w:name="_ftnref5"/>
            <w:r>
              <w:rPr>
                <w:color w:val="626262"/>
                <w:sz w:val="20"/>
                <w:szCs w:val="20"/>
              </w:rPr>
              <w:fldChar w:fldCharType="begin"/>
            </w:r>
            <w:r>
              <w:rPr>
                <w:color w:val="626262"/>
                <w:sz w:val="20"/>
                <w:szCs w:val="20"/>
              </w:rPr>
              <w:instrText xml:space="preserve"> HYPERLINK "http://www.kz-adviser.kz/official/32-ifrs/207-ias39" \l "_ftn5" </w:instrText>
            </w:r>
            <w:r>
              <w:rPr>
                <w:color w:val="626262"/>
                <w:sz w:val="20"/>
                <w:szCs w:val="20"/>
              </w:rPr>
              <w:fldChar w:fldCharType="separate"/>
            </w:r>
            <w:r>
              <w:rPr>
                <w:rStyle w:val="a6"/>
                <w:sz w:val="20"/>
                <w:szCs w:val="20"/>
              </w:rPr>
              <w:t>[**]</w:t>
            </w:r>
            <w:r>
              <w:rPr>
                <w:color w:val="626262"/>
                <w:sz w:val="20"/>
                <w:szCs w:val="20"/>
              </w:rPr>
              <w:fldChar w:fldCharType="end"/>
            </w:r>
            <w:bookmarkEnd w:id="4"/>
            <w:r>
              <w:rPr>
                <w:rStyle w:val="apple-converted-space"/>
                <w:color w:val="626262"/>
                <w:sz w:val="20"/>
                <w:szCs w:val="20"/>
              </w:rPr>
              <w:t> </w:t>
            </w:r>
            <w:r>
              <w:rPr>
                <w:color w:val="626262"/>
                <w:sz w:val="20"/>
                <w:szCs w:val="20"/>
              </w:rPr>
              <w:t>в случае, если 6-месячная ставка ЛИБОР увеличится на 100 базисных пунктов. Такой договор является производным инструментом, несмотря на то, что условная сумма не указывается.</w:t>
            </w:r>
          </w:p>
          <w:p w:rsidR="00BB1376" w:rsidRDefault="00BB1376" w:rsidP="00BB1376">
            <w:pPr>
              <w:pStyle w:val="a3"/>
              <w:jc w:val="both"/>
              <w:rPr>
                <w:color w:val="626262"/>
                <w:sz w:val="20"/>
                <w:szCs w:val="20"/>
              </w:rPr>
            </w:pPr>
            <w:r>
              <w:rPr>
                <w:color w:val="626262"/>
                <w:sz w:val="20"/>
                <w:szCs w:val="20"/>
              </w:rPr>
              <w:lastRenderedPageBreak/>
              <w:t>AG10     Определение термина «производные инструменты» в настоящем стандарте включает договоры, расчеты по которым производятся в полной сумме путем поставки лежащей в основе статьи (например, форвардный контракт на покупку долгового инструмента с фиксированной ставкой). Предприятие может заключить договор на покупку или продажу нефинансовой статьи, расчет по которому может быть произведен на нетто-основе с помощью денежных средств или другого финансового инструмента, или путем обмена финансовыми инструментами (например, договор на покупку или продажу товара по фиксированной цене на будущую дату). Такой договор входит в сферу применения настоящего стандарта, если только он не был заключен и не удерживается с целью поставки нефинансовой статьи в соответствии с ожидаемыми потребностями предприятия в закупках, продажах или потреблении (см. параграфы 5-7).</w:t>
            </w:r>
          </w:p>
          <w:p w:rsidR="00BB1376" w:rsidRDefault="00BB1376" w:rsidP="00BB1376">
            <w:pPr>
              <w:pStyle w:val="a3"/>
              <w:jc w:val="both"/>
              <w:rPr>
                <w:color w:val="626262"/>
                <w:sz w:val="20"/>
                <w:szCs w:val="20"/>
              </w:rPr>
            </w:pPr>
            <w:r>
              <w:rPr>
                <w:color w:val="626262"/>
                <w:sz w:val="20"/>
                <w:szCs w:val="20"/>
              </w:rPr>
              <w:t>AG11     Одной из определяющих характеристик производного инструмента является то, что он имеет меньшую первоначальную чистую инвестицию, чем та, которая потребовалась бы для других видов договоров, от которых ожидалась бы аналогичная реакция на изменения рыночных факторов. Опционный контракт соответствует этому определению, поскольку премия меньше инвестиции, требуемой для приобретения лежащего в основе финансового инструмента, с которым связан опцион. Валютный своп, требующий первоначального обмена разными валютами, имеющими равную справедливую стоимость, соответствует определению, поскольку у него нулевая первоначальная чистая инвестиция.</w:t>
            </w:r>
          </w:p>
          <w:p w:rsidR="00BB1376" w:rsidRDefault="00BB1376" w:rsidP="00BB1376">
            <w:pPr>
              <w:pStyle w:val="a3"/>
              <w:jc w:val="both"/>
              <w:rPr>
                <w:color w:val="626262"/>
                <w:sz w:val="20"/>
                <w:szCs w:val="20"/>
              </w:rPr>
            </w:pPr>
            <w:r>
              <w:rPr>
                <w:color w:val="626262"/>
                <w:sz w:val="20"/>
                <w:szCs w:val="20"/>
              </w:rPr>
              <w:t>AG12     Стандартная процедура покупки или продажи ведет к возникновению соглашения с фиксированной ценой в период между датой заключения сделки и датой расчетов, которое соответствует определению производного инструмента. Однако в связи с тем, что это соглашение имеет короткий срок действия, оно не признается в качестве производного финансового инструмента. Вместо этого, в настоящем стандарте предусматривается специальный учет таких стандартных договоров (см. параграфы 38 и AG53-AG56).</w:t>
            </w:r>
          </w:p>
          <w:p w:rsidR="00BB1376" w:rsidRDefault="00BB1376" w:rsidP="00BB1376">
            <w:pPr>
              <w:pStyle w:val="a3"/>
              <w:jc w:val="both"/>
              <w:rPr>
                <w:color w:val="626262"/>
                <w:sz w:val="20"/>
                <w:szCs w:val="20"/>
              </w:rPr>
            </w:pPr>
            <w:r>
              <w:rPr>
                <w:color w:val="626262"/>
                <w:sz w:val="20"/>
                <w:szCs w:val="20"/>
              </w:rPr>
              <w:t>AG12A  В определении производного инструмента говорится о нефинансовых переменных, которые не относятся к сторонам по договору. Они включают индекс убытков от землетрясений в определенном регионе и индекс температур воздуха в определенном городе. Нефинансовые переменные, относящиеся к сторонам по договору, включают информацию о том, произошел или не произошел пожар, который повреждает или разрушает актив, принадлежащий стороне по договору. Изменение справедливой стоимости нефинансового актива относится исключительно к владельцу, если справедливая стоимость отражает не только изменения рыночных цен для таких активов (финансовую переменную), но также состояние определенного удерживаемого нефинансового актива (нефинансовую переменную). Например, если гарантия остаточной стоимости определенной автомашины подвергает гаранта риску изменения физического состояния автомашины, то изменение этой остаточной стоимости относится исключительно к владельцу автомашины.</w:t>
            </w:r>
          </w:p>
          <w:p w:rsidR="00BB1376" w:rsidRDefault="00BB1376" w:rsidP="00BB1376">
            <w:pPr>
              <w:pStyle w:val="a3"/>
              <w:jc w:val="both"/>
              <w:rPr>
                <w:color w:val="626262"/>
                <w:sz w:val="20"/>
                <w:szCs w:val="20"/>
              </w:rPr>
            </w:pPr>
            <w:r>
              <w:rPr>
                <w:color w:val="626262"/>
                <w:sz w:val="20"/>
                <w:szCs w:val="20"/>
              </w:rPr>
              <w:t>Затраты по сделке</w:t>
            </w:r>
          </w:p>
          <w:p w:rsidR="00BB1376" w:rsidRDefault="00BB1376" w:rsidP="00BB1376">
            <w:pPr>
              <w:pStyle w:val="a3"/>
              <w:jc w:val="both"/>
              <w:rPr>
                <w:color w:val="626262"/>
                <w:sz w:val="20"/>
                <w:szCs w:val="20"/>
              </w:rPr>
            </w:pPr>
            <w:r>
              <w:rPr>
                <w:color w:val="626262"/>
                <w:sz w:val="20"/>
                <w:szCs w:val="20"/>
              </w:rPr>
              <w:t>AG13     Затраты по сделке включают в себя вознаграждение и комиссионные, уплаченные агентам (включая работников, действующих в качестве агентов), консультантам, брокерам и дилерам, сборы регулирующих органов и фондовых бирж, а также налоги и сборы за перевод средств. Затраты по сделке не включают в себя премии и скидки по долговым инструментам, затраты на финансирование, внутренние административные расходы или затраты на хранение.</w:t>
            </w:r>
          </w:p>
          <w:p w:rsidR="00BB1376" w:rsidRDefault="00BB1376" w:rsidP="00BB1376">
            <w:pPr>
              <w:pStyle w:val="a3"/>
              <w:jc w:val="both"/>
              <w:rPr>
                <w:color w:val="626262"/>
                <w:sz w:val="20"/>
                <w:szCs w:val="20"/>
              </w:rPr>
            </w:pPr>
            <w:r>
              <w:rPr>
                <w:color w:val="626262"/>
                <w:sz w:val="20"/>
                <w:szCs w:val="20"/>
              </w:rPr>
              <w:t>Финансовые активы и финансовые обязательства, предназначенные для торговли</w:t>
            </w:r>
          </w:p>
          <w:p w:rsidR="00BB1376" w:rsidRDefault="00BB1376" w:rsidP="00BB1376">
            <w:pPr>
              <w:pStyle w:val="a3"/>
              <w:jc w:val="both"/>
              <w:rPr>
                <w:color w:val="626262"/>
                <w:sz w:val="20"/>
                <w:szCs w:val="20"/>
              </w:rPr>
            </w:pPr>
            <w:r>
              <w:rPr>
                <w:color w:val="626262"/>
                <w:sz w:val="20"/>
                <w:szCs w:val="20"/>
              </w:rPr>
              <w:t>AG14     Торговля в основном отражает активные и часто повторяющиеся операции покупки и продажи, а финансовые инструменты, предназначенные для торговли, главным образом используются с целью получения прибыли от краткосрочных колебаний цен или дилерской маржи.</w:t>
            </w:r>
          </w:p>
          <w:p w:rsidR="00BB1376" w:rsidRDefault="00BB1376" w:rsidP="00BB1376">
            <w:pPr>
              <w:pStyle w:val="a3"/>
              <w:jc w:val="both"/>
              <w:rPr>
                <w:color w:val="626262"/>
                <w:sz w:val="20"/>
                <w:szCs w:val="20"/>
              </w:rPr>
            </w:pPr>
            <w:r>
              <w:rPr>
                <w:color w:val="626262"/>
                <w:sz w:val="20"/>
                <w:szCs w:val="20"/>
              </w:rPr>
              <w:t>AG15     Финансовые обязательства, предназначенные для торговли, включают:</w:t>
            </w:r>
          </w:p>
          <w:p w:rsidR="00BB1376" w:rsidRDefault="00BB1376" w:rsidP="00BB1376">
            <w:pPr>
              <w:pStyle w:val="a3"/>
              <w:jc w:val="both"/>
              <w:rPr>
                <w:color w:val="626262"/>
                <w:sz w:val="20"/>
                <w:szCs w:val="20"/>
              </w:rPr>
            </w:pPr>
            <w:r>
              <w:rPr>
                <w:color w:val="626262"/>
                <w:sz w:val="20"/>
                <w:szCs w:val="20"/>
              </w:rPr>
              <w:t>(а)           обязательства по производным инструментам, которые не учитываются как инструменты хеджирования;</w:t>
            </w:r>
          </w:p>
          <w:p w:rsidR="00BB1376" w:rsidRDefault="00BB1376" w:rsidP="00BB1376">
            <w:pPr>
              <w:pStyle w:val="a3"/>
              <w:jc w:val="both"/>
              <w:rPr>
                <w:color w:val="626262"/>
                <w:sz w:val="20"/>
                <w:szCs w:val="20"/>
              </w:rPr>
            </w:pPr>
            <w:r>
              <w:rPr>
                <w:color w:val="626262"/>
                <w:sz w:val="20"/>
                <w:szCs w:val="20"/>
              </w:rPr>
              <w:t>(b)           обязательства по поставке финансовых активов, заимствованных продавцом «в короткую» (т.е. предприятием, продающим финансовый актив, который оно взяло взаймы и еще не владеет им);</w:t>
            </w:r>
          </w:p>
          <w:p w:rsidR="00BB1376" w:rsidRDefault="00BB1376" w:rsidP="00BB1376">
            <w:pPr>
              <w:pStyle w:val="a3"/>
              <w:jc w:val="both"/>
              <w:rPr>
                <w:color w:val="626262"/>
                <w:sz w:val="20"/>
                <w:szCs w:val="20"/>
              </w:rPr>
            </w:pPr>
            <w:r>
              <w:rPr>
                <w:color w:val="626262"/>
                <w:sz w:val="20"/>
                <w:szCs w:val="20"/>
              </w:rPr>
              <w:t xml:space="preserve">(c)           финансовые обязательства, которые выпускаются с целью их выкупа в ближайшем будущем (например, котирующийся долговой инструмент, который может быть выкуплен эмитентом в ближайшем </w:t>
            </w:r>
            <w:r>
              <w:rPr>
                <w:color w:val="626262"/>
                <w:sz w:val="20"/>
                <w:szCs w:val="20"/>
              </w:rPr>
              <w:lastRenderedPageBreak/>
              <w:t>будущем в зависимости от изменений в его справедливой стоимости); и</w:t>
            </w:r>
          </w:p>
          <w:p w:rsidR="00BB1376" w:rsidRDefault="00BB1376" w:rsidP="00BB1376">
            <w:pPr>
              <w:pStyle w:val="a3"/>
              <w:jc w:val="both"/>
              <w:rPr>
                <w:color w:val="626262"/>
                <w:sz w:val="20"/>
                <w:szCs w:val="20"/>
              </w:rPr>
            </w:pPr>
            <w:r>
              <w:rPr>
                <w:color w:val="626262"/>
                <w:sz w:val="20"/>
                <w:szCs w:val="20"/>
              </w:rPr>
              <w:t>(d)           финансовые обязательства, которые являются частью портфеля идентифицированных финансовых инструментов, управление которыми осуществляется совместно и для которых существует свидетельство о недавней схеме поступления краткосрочной прибыли.</w:t>
            </w:r>
          </w:p>
          <w:p w:rsidR="00BB1376" w:rsidRDefault="00BB1376" w:rsidP="00BB1376">
            <w:pPr>
              <w:pStyle w:val="a3"/>
              <w:jc w:val="both"/>
              <w:rPr>
                <w:color w:val="626262"/>
                <w:sz w:val="20"/>
                <w:szCs w:val="20"/>
              </w:rPr>
            </w:pPr>
            <w:r>
              <w:rPr>
                <w:color w:val="626262"/>
                <w:sz w:val="20"/>
                <w:szCs w:val="20"/>
              </w:rPr>
              <w:t>Тот факт, что обязательство используется для финансирования торговой деятельности, сам по себе не делает его обязательством, предназначенным для торговли.</w:t>
            </w:r>
          </w:p>
          <w:p w:rsidR="00BB1376" w:rsidRDefault="00BB1376" w:rsidP="00BB1376">
            <w:pPr>
              <w:pStyle w:val="a3"/>
              <w:jc w:val="both"/>
              <w:rPr>
                <w:color w:val="626262"/>
                <w:sz w:val="20"/>
                <w:szCs w:val="20"/>
              </w:rPr>
            </w:pPr>
            <w:r>
              <w:rPr>
                <w:color w:val="626262"/>
                <w:sz w:val="20"/>
                <w:szCs w:val="20"/>
              </w:rPr>
              <w:t>Инвестиции, удерживаемые до погашения</w:t>
            </w:r>
          </w:p>
          <w:p w:rsidR="00BB1376" w:rsidRDefault="00BB1376" w:rsidP="00BB1376">
            <w:pPr>
              <w:pStyle w:val="a3"/>
              <w:jc w:val="both"/>
              <w:rPr>
                <w:color w:val="626262"/>
                <w:sz w:val="20"/>
                <w:szCs w:val="20"/>
              </w:rPr>
            </w:pPr>
            <w:r>
              <w:rPr>
                <w:color w:val="626262"/>
                <w:sz w:val="20"/>
                <w:szCs w:val="20"/>
              </w:rPr>
              <w:t>AG16     Предприятие не имеет твердого намерения удерживать до наступления срока погашения инвестицию в финансовый актив с фиксированным сроком погашения, если</w:t>
            </w:r>
          </w:p>
          <w:p w:rsidR="00BB1376" w:rsidRDefault="00BB1376" w:rsidP="00BB1376">
            <w:pPr>
              <w:pStyle w:val="a3"/>
              <w:jc w:val="both"/>
              <w:rPr>
                <w:color w:val="626262"/>
                <w:sz w:val="20"/>
                <w:szCs w:val="20"/>
              </w:rPr>
            </w:pPr>
            <w:r>
              <w:rPr>
                <w:color w:val="626262"/>
                <w:sz w:val="20"/>
                <w:szCs w:val="20"/>
              </w:rPr>
              <w:t>(а)           предприятие намеревается удерживать финансовый актив в течение неопределенного периода;</w:t>
            </w:r>
          </w:p>
          <w:p w:rsidR="00BB1376" w:rsidRDefault="00BB1376" w:rsidP="00BB1376">
            <w:pPr>
              <w:pStyle w:val="a3"/>
              <w:jc w:val="both"/>
              <w:rPr>
                <w:color w:val="626262"/>
                <w:sz w:val="20"/>
                <w:szCs w:val="20"/>
              </w:rPr>
            </w:pPr>
            <w:r>
              <w:rPr>
                <w:color w:val="626262"/>
                <w:sz w:val="20"/>
                <w:szCs w:val="20"/>
              </w:rPr>
              <w:t>(b)           предприятие готово продать финансовый актив (за исключением тех случаев, когда возникает неповторяющаяся ситуация и предприятие не могло обоснованно предусмотреть ее) в ответ на изменения рыночных процентных ставок или рисков, потребность в денежных средствах, изменения степени доступности и доходности альтернативных инвестиций, изменения в условиях и источниках финансирования или изменения валютного риска; или</w:t>
            </w:r>
          </w:p>
          <w:p w:rsidR="00BB1376" w:rsidRDefault="00BB1376" w:rsidP="00BB1376">
            <w:pPr>
              <w:pStyle w:val="a3"/>
              <w:jc w:val="both"/>
              <w:rPr>
                <w:color w:val="626262"/>
                <w:sz w:val="20"/>
                <w:szCs w:val="20"/>
              </w:rPr>
            </w:pPr>
            <w:r>
              <w:rPr>
                <w:color w:val="626262"/>
                <w:sz w:val="20"/>
                <w:szCs w:val="20"/>
              </w:rPr>
              <w:t>(c)           эмитент имеет право произвести расчет по финансовому активу в сумме, которая значительно ниже величины его амортизируемой стоимости.</w:t>
            </w:r>
          </w:p>
          <w:p w:rsidR="00BB1376" w:rsidRDefault="00BB1376" w:rsidP="00BB1376">
            <w:pPr>
              <w:pStyle w:val="a3"/>
              <w:jc w:val="both"/>
              <w:rPr>
                <w:color w:val="626262"/>
                <w:sz w:val="20"/>
                <w:szCs w:val="20"/>
              </w:rPr>
            </w:pPr>
            <w:r>
              <w:rPr>
                <w:color w:val="626262"/>
                <w:sz w:val="20"/>
                <w:szCs w:val="20"/>
              </w:rPr>
              <w:t>AG17     Долговой инструмент с переменной процентной ставкой может удовлетворять критериям инвестиций, удерживаемых до погашения. Долевые инструменты не могут являться инвестициями, удерживаемыми до погашения, в связи с тем, что они имеют неопределенный срок обращения (например, обыкновенные акции), либо в связи с тем, что суммы, которые владелец может получить, могут изменяться непредсказуемым образом (например, по опционам на акции, варрантам и аналогичным правам). В отношении определения инвестиций, удерживаемых до погашения, фиксированные или определимые выплаты, а также фиксированный срок погашения означают, что договорное соглашение устанавливает размеры и даты выплат владельцу, например, процентов и основной суммы. Значительный риск неплатежей не препятствует классификации финансового актива в качестве удерживаемого до погашения при условии, что договорные выплаты являются фиксированными или определимыми и выполняются прочие критерии этой классификации. Если условия вечного долгового инструмента предусматривают выплаты процентов на протяжении неопределенного периода, то инструмент не может классифицироваться как удерживаемый до погашения, так как отсутствует срок погашения.</w:t>
            </w:r>
          </w:p>
          <w:p w:rsidR="00BB1376" w:rsidRDefault="00BB1376" w:rsidP="00BB1376">
            <w:pPr>
              <w:pStyle w:val="a3"/>
              <w:jc w:val="both"/>
              <w:rPr>
                <w:color w:val="626262"/>
                <w:sz w:val="20"/>
                <w:szCs w:val="20"/>
              </w:rPr>
            </w:pPr>
            <w:r>
              <w:rPr>
                <w:color w:val="626262"/>
                <w:sz w:val="20"/>
                <w:szCs w:val="20"/>
              </w:rPr>
              <w:t>AG18     Финансовый актив, который эмитент может отозвать досрочно, удовлетворяет критериям классификации в качестве инвестиций, удерживаемых до погашения, если владелец собирается и имеет возможность удерживать его до отзыва или погашения, и при этом владельцу удастся возместить практически всю его балансовую стоимость. Право эмитента на отзыв в случае его осуществления всего лишь приближает срок погашения актива. Однако если финансовый актив может быть отозван на основе, которая не позволит владельцу возместить практически всю его балансовую стоимость, то данный финансовый актив не может быть классифицирован как инвестиция, удерживаемая до погашения. При определении возможности возмещения практически всей балансовой стоимости предприятие учитывает выплаченную премию и капитализированные затраты по сделке.</w:t>
            </w:r>
          </w:p>
          <w:p w:rsidR="00BB1376" w:rsidRDefault="00BB1376" w:rsidP="00BB1376">
            <w:pPr>
              <w:pStyle w:val="a3"/>
              <w:jc w:val="both"/>
              <w:rPr>
                <w:color w:val="626262"/>
                <w:sz w:val="20"/>
                <w:szCs w:val="20"/>
              </w:rPr>
            </w:pPr>
            <w:r>
              <w:rPr>
                <w:color w:val="626262"/>
                <w:sz w:val="20"/>
                <w:szCs w:val="20"/>
              </w:rPr>
              <w:t>AG19     Финансовый актив с правом досрочного погашения (т.е. у владельца есть право требовать от эмитента погашения или выкупа финансового актива до наступления срока погашения) не может быть классифицирован как инвестиция, удерживаемая до погашения, так как плата за право досрочной продажи финансового актива не согласуется с намерением удерживать финансовый актив до наступления срока погашения.</w:t>
            </w:r>
          </w:p>
          <w:p w:rsidR="00BB1376" w:rsidRDefault="00BB1376" w:rsidP="00BB1376">
            <w:pPr>
              <w:pStyle w:val="a3"/>
              <w:jc w:val="both"/>
              <w:rPr>
                <w:color w:val="626262"/>
                <w:sz w:val="20"/>
                <w:szCs w:val="20"/>
              </w:rPr>
            </w:pPr>
            <w:r>
              <w:rPr>
                <w:color w:val="626262"/>
                <w:sz w:val="20"/>
                <w:szCs w:val="20"/>
              </w:rPr>
              <w:t xml:space="preserve">AG20     Справедливая стоимость для большинства финансовых активов является более приемлемым методом измерения, чем амортизированная стоимость. Инвестиции, попавшие в категорию «удерживаемые до погашения», составляют исключение, но только в том случае, если предприятие имеет твердое намерение и возможность удерживать эти инвестиции до срока погашения. Если действия предприятия ставят под сомнение его намерение и возможность удерживать такие инвестиции до срока погашения, то на основании </w:t>
            </w:r>
            <w:r>
              <w:rPr>
                <w:color w:val="626262"/>
                <w:sz w:val="20"/>
                <w:szCs w:val="20"/>
              </w:rPr>
              <w:lastRenderedPageBreak/>
              <w:t>параграфа 9 указанное исключение перестает действовать в течение определенного периода времени.</w:t>
            </w:r>
          </w:p>
          <w:p w:rsidR="00BB1376" w:rsidRDefault="00BB1376" w:rsidP="00BB1376">
            <w:pPr>
              <w:pStyle w:val="a3"/>
              <w:jc w:val="both"/>
              <w:rPr>
                <w:color w:val="626262"/>
                <w:sz w:val="20"/>
                <w:szCs w:val="20"/>
              </w:rPr>
            </w:pPr>
            <w:r>
              <w:rPr>
                <w:color w:val="626262"/>
                <w:sz w:val="20"/>
                <w:szCs w:val="20"/>
              </w:rPr>
              <w:t>AG21     Маловероятный катастрофический сценарий, такой как массовое изъятие вкладов из банков или другая аналогичная ситуация затрагивающая страховую компанию, не оценивается предприятием при принятии решения о том, имеет ли оно твердое намерение и возможность удерживать инвестицию до срока погашения.</w:t>
            </w:r>
          </w:p>
          <w:p w:rsidR="00BB1376" w:rsidRDefault="00BB1376" w:rsidP="00BB1376">
            <w:pPr>
              <w:pStyle w:val="a3"/>
              <w:jc w:val="both"/>
              <w:rPr>
                <w:color w:val="626262"/>
                <w:sz w:val="20"/>
                <w:szCs w:val="20"/>
              </w:rPr>
            </w:pPr>
            <w:r>
              <w:rPr>
                <w:color w:val="626262"/>
                <w:sz w:val="20"/>
                <w:szCs w:val="20"/>
              </w:rPr>
              <w:t>AG22     Продажи до срока погашения могут удовлетворять условиям параграфа 9 (и, следовательно, не ставить под вопрос намерение предприятия удерживать другие инвестиции до срока погашения), если они связаны:</w:t>
            </w:r>
          </w:p>
          <w:p w:rsidR="00BB1376" w:rsidRDefault="00BB1376" w:rsidP="00BB1376">
            <w:pPr>
              <w:pStyle w:val="a3"/>
              <w:jc w:val="both"/>
              <w:rPr>
                <w:color w:val="626262"/>
                <w:sz w:val="20"/>
                <w:szCs w:val="20"/>
              </w:rPr>
            </w:pPr>
            <w:r>
              <w:rPr>
                <w:color w:val="626262"/>
                <w:sz w:val="20"/>
                <w:szCs w:val="20"/>
              </w:rPr>
              <w:t>(а)           со значительным ухудшением платежеспособности эмитента. Например, продажа после снижения кредитного рейтинга внешним рейтинговым агентством не обязательно ставит под вопрос намерение предприятия удерживать другие инвестиции до срока погашения, если снижение рейтинга свидетельствует о значительном ухудшении кредитоспособности эмитента по сравнению с кредитным рейтингом при первоначальном признании. Аналогичным образом, если предприятие использует внутренние рейтинги для оценки рисков, то изменения в таких внутренних рейтингах могут помочь определить тех эмитентов, у которых произошло значительное ухудшение платежеспособности при условии, что используемый предприятием метод присвоения внутренних рейтингов и изменения в этих рейтингах дают последовательный, надежный и объективный показатель кредитоспособности эмитентов. При наличии свидетельств обесценения финансового актива (см. параграфы 58 и 59) снижение кредитоспособности часто считается значительным;</w:t>
            </w:r>
          </w:p>
          <w:p w:rsidR="00BB1376" w:rsidRDefault="00BB1376" w:rsidP="00BB1376">
            <w:pPr>
              <w:pStyle w:val="a3"/>
              <w:jc w:val="both"/>
              <w:rPr>
                <w:color w:val="626262"/>
                <w:sz w:val="20"/>
                <w:szCs w:val="20"/>
              </w:rPr>
            </w:pPr>
            <w:r>
              <w:rPr>
                <w:color w:val="626262"/>
                <w:sz w:val="20"/>
                <w:szCs w:val="20"/>
              </w:rPr>
              <w:t>(b)           изменением в налоговом законодательстве, в результате которого ликвидируется или значительно сокращается статус освобождения от уплаты налогов с процентов по инвестициям, удерживаемым до погашения (но не с изменением в налоговом законодательстве, в соответствии с которым пересматриваются предельные ставки налогов, уплачиваемых с процентного дохода);</w:t>
            </w:r>
          </w:p>
          <w:p w:rsidR="00BB1376" w:rsidRDefault="00BB1376" w:rsidP="00BB1376">
            <w:pPr>
              <w:pStyle w:val="a3"/>
              <w:jc w:val="both"/>
              <w:rPr>
                <w:color w:val="626262"/>
                <w:sz w:val="20"/>
                <w:szCs w:val="20"/>
              </w:rPr>
            </w:pPr>
            <w:r>
              <w:rPr>
                <w:color w:val="626262"/>
                <w:sz w:val="20"/>
                <w:szCs w:val="20"/>
              </w:rPr>
              <w:t>(c)           значительным объединением бизнеса или выбытием значительной части активов (например, продажа сегмента), в результате которых становится необходимой продажа или передача удерживаемых до погашения инвестиций в целях сохранения существующей позиции предприятия по процентному риску или соблюдения его политики в отношении кредитного риска (хотя объединение бизнеса и является событием, контролируемым предприятием, изменения в его инвестиционном портфеле, производимые для сохранения позиции по процентному риску или соблюдения политики в отношении кредитного риска, скорее, могут быть логически вытекающими из создавшейся ситуации, чем предполагаемыми заранее);</w:t>
            </w:r>
          </w:p>
          <w:p w:rsidR="00BB1376" w:rsidRDefault="00BB1376" w:rsidP="00BB1376">
            <w:pPr>
              <w:pStyle w:val="a3"/>
              <w:jc w:val="both"/>
              <w:rPr>
                <w:color w:val="626262"/>
                <w:sz w:val="20"/>
                <w:szCs w:val="20"/>
              </w:rPr>
            </w:pPr>
            <w:r>
              <w:rPr>
                <w:color w:val="626262"/>
                <w:sz w:val="20"/>
                <w:szCs w:val="20"/>
              </w:rPr>
              <w:t>(d)           изменением в законодательстве или требованиях регулирующих органов, в соответствии с которыми значительно меняется состав допустимых инвестиций или максимальный уровень определенных видов инвестиций, в результате чего предприятие вынуждено избавиться от инвестиций, удерживаемых до погашения;</w:t>
            </w:r>
          </w:p>
          <w:p w:rsidR="00BB1376" w:rsidRDefault="00BB1376" w:rsidP="00BB1376">
            <w:pPr>
              <w:pStyle w:val="a3"/>
              <w:jc w:val="both"/>
              <w:rPr>
                <w:color w:val="626262"/>
                <w:sz w:val="20"/>
                <w:szCs w:val="20"/>
              </w:rPr>
            </w:pPr>
            <w:r>
              <w:rPr>
                <w:color w:val="626262"/>
                <w:sz w:val="20"/>
                <w:szCs w:val="20"/>
              </w:rPr>
              <w:t>(e)           значительным повышением нормативных требований к уровню капитала, в результате чего предприятие вынуждено уменьшить объем инвестиций путем продажи инвестиций, удерживаемых до погашения;</w:t>
            </w:r>
          </w:p>
          <w:p w:rsidR="00BB1376" w:rsidRDefault="00BB1376" w:rsidP="00BB1376">
            <w:pPr>
              <w:pStyle w:val="a3"/>
              <w:jc w:val="both"/>
              <w:rPr>
                <w:color w:val="626262"/>
                <w:sz w:val="20"/>
                <w:szCs w:val="20"/>
              </w:rPr>
            </w:pPr>
            <w:r>
              <w:rPr>
                <w:color w:val="626262"/>
                <w:sz w:val="20"/>
                <w:szCs w:val="20"/>
              </w:rPr>
              <w:t>(f)            значительным повышением показателей степени риска по удерживаемым до погашения инвестициям, используемых для расчета нормативов капитала с учетом риска.</w:t>
            </w:r>
          </w:p>
          <w:p w:rsidR="00BB1376" w:rsidRDefault="00BB1376" w:rsidP="00BB1376">
            <w:pPr>
              <w:pStyle w:val="a3"/>
              <w:jc w:val="both"/>
              <w:rPr>
                <w:color w:val="626262"/>
                <w:sz w:val="20"/>
                <w:szCs w:val="20"/>
              </w:rPr>
            </w:pPr>
            <w:r>
              <w:rPr>
                <w:color w:val="626262"/>
                <w:sz w:val="20"/>
                <w:szCs w:val="20"/>
              </w:rPr>
              <w:t>AG23     Предприятие не имеет очевидной возможности удерживать до погашения инвестицию в финансовый актив с фиксированным сроком погашения, если:</w:t>
            </w:r>
          </w:p>
          <w:p w:rsidR="00BB1376" w:rsidRDefault="00BB1376" w:rsidP="00BB1376">
            <w:pPr>
              <w:pStyle w:val="a3"/>
              <w:jc w:val="both"/>
              <w:rPr>
                <w:color w:val="626262"/>
                <w:sz w:val="20"/>
                <w:szCs w:val="20"/>
              </w:rPr>
            </w:pPr>
            <w:r>
              <w:rPr>
                <w:color w:val="626262"/>
                <w:sz w:val="20"/>
                <w:szCs w:val="20"/>
              </w:rPr>
              <w:t>(а)           предприятие не имеет доступных финансовых ресурсов для дальнейшего финансирования данной инвестиции до срока погашения; или</w:t>
            </w:r>
          </w:p>
          <w:p w:rsidR="00BB1376" w:rsidRDefault="00BB1376" w:rsidP="00BB1376">
            <w:pPr>
              <w:pStyle w:val="a3"/>
              <w:jc w:val="both"/>
              <w:rPr>
                <w:color w:val="626262"/>
                <w:sz w:val="20"/>
                <w:szCs w:val="20"/>
              </w:rPr>
            </w:pPr>
            <w:r>
              <w:rPr>
                <w:color w:val="626262"/>
                <w:sz w:val="20"/>
                <w:szCs w:val="20"/>
              </w:rPr>
              <w:t>(b)           деятельность предприятия подвержена законодательным или иным ограничениям, которые могут нарушить его планы относительно удержания финансового актива до срока погашения. (Однако право эмитента на отзыв не обязательно нарушает план предприятия удерживать финансовый актив до погашения - см. параграф AG18.)</w:t>
            </w:r>
          </w:p>
          <w:p w:rsidR="00BB1376" w:rsidRDefault="00BB1376" w:rsidP="00BB1376">
            <w:pPr>
              <w:pStyle w:val="a3"/>
              <w:jc w:val="both"/>
              <w:rPr>
                <w:color w:val="626262"/>
                <w:sz w:val="20"/>
                <w:szCs w:val="20"/>
              </w:rPr>
            </w:pPr>
            <w:r>
              <w:rPr>
                <w:color w:val="626262"/>
                <w:sz w:val="20"/>
                <w:szCs w:val="20"/>
              </w:rPr>
              <w:t xml:space="preserve">AG24     Другие обстоятельства, помимо описанных в параграфах AG16-AG23, также могут указывать на то, </w:t>
            </w:r>
            <w:r>
              <w:rPr>
                <w:color w:val="626262"/>
                <w:sz w:val="20"/>
                <w:szCs w:val="20"/>
              </w:rPr>
              <w:lastRenderedPageBreak/>
              <w:t>что предприятие не имеет твердого намерения или возможности удерживать инвестиции до погашения.</w:t>
            </w:r>
          </w:p>
          <w:p w:rsidR="00BB1376" w:rsidRDefault="00BB1376" w:rsidP="00BB1376">
            <w:pPr>
              <w:pStyle w:val="a3"/>
              <w:jc w:val="both"/>
              <w:rPr>
                <w:color w:val="626262"/>
                <w:sz w:val="20"/>
                <w:szCs w:val="20"/>
              </w:rPr>
            </w:pPr>
            <w:r>
              <w:rPr>
                <w:color w:val="626262"/>
                <w:sz w:val="20"/>
                <w:szCs w:val="20"/>
              </w:rPr>
              <w:t>AG25     Предприятие оценивает свои намерения и возможность удерживать до срока погашения инвестиции, отнесенные в категорию «удерживаемые до погашения», не только в момент первоначального признания таких финансовых активов, но и на каждую последующую отчетную дату.</w:t>
            </w:r>
          </w:p>
          <w:p w:rsidR="00BB1376" w:rsidRDefault="00BB1376" w:rsidP="00BB1376">
            <w:pPr>
              <w:pStyle w:val="a3"/>
              <w:jc w:val="both"/>
              <w:rPr>
                <w:color w:val="626262"/>
                <w:sz w:val="20"/>
                <w:szCs w:val="20"/>
              </w:rPr>
            </w:pPr>
            <w:r>
              <w:rPr>
                <w:color w:val="626262"/>
                <w:sz w:val="20"/>
                <w:szCs w:val="20"/>
              </w:rPr>
              <w:t>Займы и дебиторская задолженность</w:t>
            </w:r>
          </w:p>
          <w:p w:rsidR="00BB1376" w:rsidRDefault="00BB1376" w:rsidP="00BB1376">
            <w:pPr>
              <w:pStyle w:val="a3"/>
              <w:jc w:val="both"/>
              <w:rPr>
                <w:color w:val="626262"/>
                <w:sz w:val="20"/>
                <w:szCs w:val="20"/>
              </w:rPr>
            </w:pPr>
            <w:r>
              <w:rPr>
                <w:color w:val="626262"/>
                <w:sz w:val="20"/>
                <w:szCs w:val="20"/>
              </w:rPr>
              <w:t>AG26     Любой непроизводный финансовый актив с фиксированными или определимыми платежами (в том числе заемные активы, торговая дебиторская задолженность, инвестиции в долговые инструменты и депозиты в банках) потенциально может соответствовать определению займов и дебиторской задолженности. Однако финансовый актив, котирующийся на активном рынке (например, котируемый долговой инструмент, см. параграф AG71), не отвечает требованиям для классификации в качестве займа или дебиторской задолженности. Финансовые активы, не соответствующие определению займов и дебиторской задолженности, могут классифицироваться как инвестиции, удерживаемые до погашения, если они удовлетворяют условиям такой классификации (см. параграфы 9 и AG16-AG25). При первоначальном признании финансового актива, который классифицируется как заем или дебиторская задолженность, предприятие может определить его в качестве финансового актива, учтенного по справедливой стоимости через прибыль или убыток, либо в качестве имеющегося в наличии для продажи.</w:t>
            </w:r>
          </w:p>
          <w:p w:rsidR="00BB1376" w:rsidRDefault="00BB1376" w:rsidP="00BB1376">
            <w:pPr>
              <w:pStyle w:val="a3"/>
              <w:jc w:val="both"/>
              <w:rPr>
                <w:color w:val="626262"/>
                <w:sz w:val="20"/>
                <w:szCs w:val="20"/>
              </w:rPr>
            </w:pPr>
            <w:r>
              <w:rPr>
                <w:color w:val="626262"/>
                <w:sz w:val="20"/>
                <w:szCs w:val="20"/>
              </w:rPr>
              <w:t>Встроенные производные инструменты (параграфы 10-13)</w:t>
            </w:r>
          </w:p>
          <w:p w:rsidR="00BB1376" w:rsidRDefault="00BB1376" w:rsidP="00BB1376">
            <w:pPr>
              <w:pStyle w:val="a3"/>
              <w:jc w:val="both"/>
              <w:rPr>
                <w:color w:val="626262"/>
                <w:sz w:val="20"/>
                <w:szCs w:val="20"/>
              </w:rPr>
            </w:pPr>
            <w:r>
              <w:rPr>
                <w:color w:val="626262"/>
                <w:sz w:val="20"/>
                <w:szCs w:val="20"/>
              </w:rPr>
              <w:t>AG27     Если основной договор не содержит установленного или заранее определенного срока погашения и представляет собой остаточную долю в чистых активах предприятия, он имеет экономические характеристики и риски долевого инструмента, при этом встроенный производный инструмент, чтобы рассматриваться как имеющий тесную связь с основным договором, должен обладать характеристиками долевого инструмента, относящимися к тому же самому предприятию. Если основной договор не является долевым инструментом и соответствует определению финансового инструмента, он имеет экономические характеристики и риски долгового инструмента.</w:t>
            </w:r>
          </w:p>
          <w:p w:rsidR="00BB1376" w:rsidRDefault="00BB1376" w:rsidP="00BB1376">
            <w:pPr>
              <w:pStyle w:val="a3"/>
              <w:jc w:val="both"/>
              <w:rPr>
                <w:color w:val="626262"/>
                <w:sz w:val="20"/>
                <w:szCs w:val="20"/>
              </w:rPr>
            </w:pPr>
            <w:r>
              <w:rPr>
                <w:color w:val="626262"/>
                <w:sz w:val="20"/>
                <w:szCs w:val="20"/>
              </w:rPr>
              <w:t>AG28     Встроенный неопционный производный инструмент (например, встроенный форвардный контракт или своп) отделяется от основного договора на основе указанных или подразумеваемых основных условий с тем, чтобы он имел нулевую справедливую стоимость при первоначальном признании. Встроенный опционный производный инструмент (например, встроенный опцион на продажу или покупку, «кэп», «флор» или свопцион) отделяется от основного договора на основе указанных условий опциона. Исходная балансовая стоимость основного инструмента устанавливается равной остаточной сумме после выделения встроенного производного инструмента.</w:t>
            </w:r>
          </w:p>
          <w:p w:rsidR="00BB1376" w:rsidRDefault="00BB1376" w:rsidP="00BB1376">
            <w:pPr>
              <w:pStyle w:val="a3"/>
              <w:jc w:val="both"/>
              <w:rPr>
                <w:color w:val="626262"/>
                <w:sz w:val="20"/>
                <w:szCs w:val="20"/>
              </w:rPr>
            </w:pPr>
            <w:r>
              <w:rPr>
                <w:color w:val="626262"/>
                <w:sz w:val="20"/>
                <w:szCs w:val="20"/>
              </w:rPr>
              <w:t>AG29     Как правило, множественные встроенные производные инструменты, содержащиеся в одном инструменте, учитываются как один составной встроенный производный инструмент. Однако встроенные производные инструменты, которые классифицируются как собственный капитал (см. МСФО (IAS) 32</w:t>
            </w:r>
            <w:r>
              <w:rPr>
                <w:rStyle w:val="a5"/>
                <w:color w:val="626262"/>
                <w:sz w:val="20"/>
                <w:szCs w:val="20"/>
              </w:rPr>
              <w:t>«Финансовые инструменты: представление информации»</w:t>
            </w:r>
            <w:r>
              <w:rPr>
                <w:color w:val="626262"/>
                <w:sz w:val="20"/>
                <w:szCs w:val="20"/>
              </w:rPr>
              <w:t>), учитываются отдельно от инструментов, которые классифицируются как активы или обязательства. Кроме того, если инструмент имеет более одного встроенного производного инструмента и эти производные инструменты подвержены разным рискам, легко отделимы и независимы друг от друга, они учитываются отдельно друг от друга.</w:t>
            </w:r>
          </w:p>
          <w:p w:rsidR="00BB1376" w:rsidRDefault="00BB1376" w:rsidP="00BB1376">
            <w:pPr>
              <w:pStyle w:val="a3"/>
              <w:jc w:val="both"/>
              <w:rPr>
                <w:color w:val="626262"/>
                <w:sz w:val="20"/>
                <w:szCs w:val="20"/>
              </w:rPr>
            </w:pPr>
            <w:r>
              <w:rPr>
                <w:color w:val="626262"/>
                <w:sz w:val="20"/>
                <w:szCs w:val="20"/>
              </w:rPr>
              <w:t>AG30     Экономические характеристики и риски встроенного производного инструмента не имеют тесной связи с основным договором (параграф 11(а)) в приведенных ниже примерах. В этих примерах, при допущении, что условия параграфа 11(b) и (c) выполняются, предприятие учитывает встроенный производный инструмент отдельно от основного договора.</w:t>
            </w:r>
          </w:p>
          <w:p w:rsidR="00BB1376" w:rsidRDefault="00BB1376" w:rsidP="00BB1376">
            <w:pPr>
              <w:pStyle w:val="a3"/>
              <w:jc w:val="both"/>
              <w:rPr>
                <w:color w:val="626262"/>
                <w:sz w:val="20"/>
                <w:szCs w:val="20"/>
              </w:rPr>
            </w:pPr>
            <w:r>
              <w:rPr>
                <w:color w:val="626262"/>
                <w:sz w:val="20"/>
                <w:szCs w:val="20"/>
              </w:rPr>
              <w:t>(а)           Опцион на продажу, встроенный в инструмент, который позволяет владельцу требовать от эмитента выкупа данного инструмента за денежные средства или другие активы, величина которых меняется в зависимости от изменения стоимости или индекса акций или товаров, не имеет тесной связи с основным долговым инструментом.</w:t>
            </w:r>
          </w:p>
          <w:p w:rsidR="00BB1376" w:rsidRDefault="00BB1376" w:rsidP="00BB1376">
            <w:pPr>
              <w:pStyle w:val="a3"/>
              <w:jc w:val="both"/>
              <w:rPr>
                <w:color w:val="626262"/>
                <w:sz w:val="20"/>
                <w:szCs w:val="20"/>
              </w:rPr>
            </w:pPr>
            <w:r>
              <w:rPr>
                <w:color w:val="626262"/>
                <w:sz w:val="20"/>
                <w:szCs w:val="20"/>
              </w:rPr>
              <w:t xml:space="preserve">(b)           Опцион на покупку, встроенный в долевой инструмент, который позволяет эмитенту выкупить этот долевой инструмент по определенной цене, с точки зрения владельца не имеет тесной связи с основным долевым инструментом (с точки зрения эмитента, опцион на покупку является долевым инструментом, при условии что он удовлетворяет условиям для такой классификации в соответствии с МСФО (IAS) 32; в этом </w:t>
            </w:r>
            <w:r>
              <w:rPr>
                <w:color w:val="626262"/>
                <w:sz w:val="20"/>
                <w:szCs w:val="20"/>
              </w:rPr>
              <w:lastRenderedPageBreak/>
              <w:t>случае опцион на покупку не входит в сферу применения настоящего стандарта).</w:t>
            </w:r>
          </w:p>
          <w:p w:rsidR="00BB1376" w:rsidRDefault="00BB1376" w:rsidP="00BB1376">
            <w:pPr>
              <w:pStyle w:val="a3"/>
              <w:jc w:val="both"/>
              <w:rPr>
                <w:color w:val="626262"/>
                <w:sz w:val="20"/>
                <w:szCs w:val="20"/>
              </w:rPr>
            </w:pPr>
            <w:r>
              <w:rPr>
                <w:color w:val="626262"/>
                <w:sz w:val="20"/>
                <w:szCs w:val="20"/>
              </w:rPr>
              <w:t>(c)           Право или автоматическое условие продления периода, оставшегося до наступления срока погашения по долговому инструменту, не имеет тесной связи с основным долговым инструментом, за исключением случаев, когда в момент продления осуществляется одновременная корректировка до приблизительной текущей рыночной ставки процента. Если предприятие выпускает долговой инструмент, а владелец этого долгового инструмента выпускает опцион на покупку долгового инструмента третьей стороне, эмитент рассматривает этот опцион на покупку как продлевающий период до наступления срока погашения долгового инструмента, при условии что от эмитента можно потребовать участия или содействия в повторном маркетинге долгового инструмента в результате исполнения опциона на покупку.</w:t>
            </w:r>
          </w:p>
          <w:p w:rsidR="00BB1376" w:rsidRDefault="00BB1376" w:rsidP="00BB1376">
            <w:pPr>
              <w:pStyle w:val="a3"/>
              <w:jc w:val="both"/>
              <w:rPr>
                <w:color w:val="626262"/>
                <w:sz w:val="20"/>
                <w:szCs w:val="20"/>
              </w:rPr>
            </w:pPr>
            <w:r>
              <w:rPr>
                <w:color w:val="626262"/>
                <w:sz w:val="20"/>
                <w:szCs w:val="20"/>
              </w:rPr>
              <w:t>(d)           Индексируемые по акциям проценты или основная сумма долга, встроенные в основной долговой инструмент или в договор страхования, - посредством которых величина процентов или основной суммы долга привязана к стоимости долевых инструментов, - не имеют тесной связи с основным инструментом, так как существуют отличия между рисками, присущими основному инструменту, и рисками встроенного производного инструмента.</w:t>
            </w:r>
          </w:p>
          <w:p w:rsidR="00BB1376" w:rsidRDefault="00BB1376" w:rsidP="00BB1376">
            <w:pPr>
              <w:pStyle w:val="a3"/>
              <w:jc w:val="both"/>
              <w:rPr>
                <w:color w:val="626262"/>
                <w:sz w:val="20"/>
                <w:szCs w:val="20"/>
              </w:rPr>
            </w:pPr>
            <w:r>
              <w:rPr>
                <w:color w:val="626262"/>
                <w:sz w:val="20"/>
                <w:szCs w:val="20"/>
              </w:rPr>
              <w:t>(e)           Индексируемые по товару проценты или основная сумма долга, встроенные в основной долговой инструмент или в договор страхования, - посредством которых величина процентов или основной суммы долга привязана к цене товара (например, золота), не имеют тесной связи с основным инструментом, так как существуют отличия между рисками, присущими основному инструменту, и рисками встроенного производного инструмента.</w:t>
            </w:r>
          </w:p>
          <w:p w:rsidR="00BB1376" w:rsidRDefault="00BB1376" w:rsidP="00BB1376">
            <w:pPr>
              <w:pStyle w:val="a3"/>
              <w:jc w:val="both"/>
              <w:rPr>
                <w:color w:val="626262"/>
                <w:sz w:val="20"/>
                <w:szCs w:val="20"/>
              </w:rPr>
            </w:pPr>
            <w:r>
              <w:rPr>
                <w:color w:val="626262"/>
                <w:sz w:val="20"/>
                <w:szCs w:val="20"/>
              </w:rPr>
              <w:t>(f)            Встроенное в конвертируемый долговой инструмент право на конвертацию в долевые ценные бумаги, с точки зрения владельца инструмента, не имеет тесной связи с основным долговым инструментом (с точки зрения эмитента, опцион на конвертацию в долевые ценные бумаги является долевым инструментом и не входит в сферу применения настоящего стандарта, при условии что он удовлетворяет условиям для такой классификации в соответствии с МСФО (IAS) 32).</w:t>
            </w:r>
          </w:p>
          <w:p w:rsidR="00BB1376" w:rsidRDefault="00BB1376" w:rsidP="00BB1376">
            <w:pPr>
              <w:pStyle w:val="a3"/>
              <w:jc w:val="both"/>
              <w:rPr>
                <w:color w:val="626262"/>
                <w:sz w:val="20"/>
                <w:szCs w:val="20"/>
              </w:rPr>
            </w:pPr>
            <w:r>
              <w:rPr>
                <w:color w:val="626262"/>
                <w:sz w:val="20"/>
                <w:szCs w:val="20"/>
              </w:rPr>
              <w:t>(g)           Опцион на покупку, продажу или возможность досрочного погашения, встроенная в основной долговой договор или договор страхования, не имеет тесной связи с основным договором, за исключением тех случаев, когда цена исполнения опциона примерно равна амортизированной стоимости основного долгового инструмента или балансовой стоимости основного договора страхования на каждую дату исполнения опциона. С точки зрения эмитента конвертируемого долгового инструмента со встроенным опционом на покупку или продажу, наличие тесной связи опциона на покупку или продажу с основным долговым договором определяется до отделения компонента собственного капитала в соответствии с МСФО (IAS) 32.</w:t>
            </w:r>
          </w:p>
          <w:p w:rsidR="00BB1376" w:rsidRDefault="00BB1376" w:rsidP="00BB1376">
            <w:pPr>
              <w:pStyle w:val="a3"/>
              <w:jc w:val="both"/>
              <w:rPr>
                <w:color w:val="626262"/>
                <w:sz w:val="20"/>
                <w:szCs w:val="20"/>
              </w:rPr>
            </w:pPr>
            <w:r>
              <w:rPr>
                <w:color w:val="626262"/>
                <w:sz w:val="20"/>
                <w:szCs w:val="20"/>
              </w:rPr>
              <w:t>(h)           Не имеют тесной связи с основным долговым инструментом кредитные производные инструменты, встроенные в основной долговой инструмент, которые позволяют одной стороне («выгодоприобретателю») передать кредитный риск по определенному указанному активу, возможно, не находящемуся в его собственности, другой стороне («гаранту»). Такие кредитные производные инструменты позволяют гаранту принять на себя кредитный риск, связанный с указанным активом, не владея им напрямую.</w:t>
            </w:r>
          </w:p>
          <w:p w:rsidR="00BB1376" w:rsidRDefault="00BB1376" w:rsidP="00BB1376">
            <w:pPr>
              <w:pStyle w:val="a3"/>
              <w:jc w:val="both"/>
              <w:rPr>
                <w:color w:val="626262"/>
                <w:sz w:val="20"/>
                <w:szCs w:val="20"/>
              </w:rPr>
            </w:pPr>
            <w:r>
              <w:rPr>
                <w:color w:val="626262"/>
                <w:sz w:val="20"/>
                <w:szCs w:val="20"/>
              </w:rPr>
              <w:t>AG31     Примером гибридного инструмента является финансовый инструмент, дающий владельцу право вернуть финансовый инструмент эмитенту в обмен на денежные средства или другие финансовые активы, величина которых меняется в зависимости от изменения индекса акций или товара, который может повышаться или понижаться ("инструмент с правом досрочного погашения"). За исключением тех случаев, когда при первоначальном признании эмитент классифицирует инструмент с правом досрочного погашения в качестве финансового обязательства, учтенного по справедливой стоимости через прибыль или убыток, он должен отделить встроенный производный инструмент (т.е. индексируемую выплату основной суммы) в соответствии с параграфом 11, так как основной договор является долговым инструментом в соответствии с параграфом AG27, а в соответствии с параграфом AG30(а) индексированная выплата основной суммы не имеет тесной связи с основным долговым инструментом. В связи с тем, что выплата основной суммы может увеличиваться или уменьшаться, встроенный производный инструмент является неопционным производным инструментом, стоимость которого индексируется к лежащей в основе переменной.</w:t>
            </w:r>
          </w:p>
          <w:p w:rsidR="00BB1376" w:rsidRDefault="00BB1376" w:rsidP="00BB1376">
            <w:pPr>
              <w:pStyle w:val="a3"/>
              <w:jc w:val="both"/>
              <w:rPr>
                <w:color w:val="626262"/>
                <w:sz w:val="20"/>
                <w:szCs w:val="20"/>
              </w:rPr>
            </w:pPr>
            <w:r>
              <w:rPr>
                <w:color w:val="626262"/>
                <w:sz w:val="20"/>
                <w:szCs w:val="20"/>
              </w:rPr>
              <w:t xml:space="preserve">AG32     В случае с инструментом с правом досрочного погашения, который в любое время можно продать обратно эмитенту за денежную сумму, равную пропорциональной доле стоимости чистых активов предприятия (например, паи взаимного инвестиционного фонда открытого типа или некоторые инвестиционные продукты, связанные с паями), эффект разделения встроенного производного инструмента </w:t>
            </w:r>
            <w:r>
              <w:rPr>
                <w:color w:val="626262"/>
                <w:sz w:val="20"/>
                <w:szCs w:val="20"/>
              </w:rPr>
              <w:lastRenderedPageBreak/>
              <w:t>и учета каждого компонента состоит в измерении комбинированного инструмента по сумме погашения, которая подлежала бы оплате на отчетную дату, если бы владелец исполнил свое право вернуть инструмент эмитенту.</w:t>
            </w:r>
          </w:p>
          <w:p w:rsidR="00BB1376" w:rsidRDefault="00BB1376" w:rsidP="00BB1376">
            <w:pPr>
              <w:pStyle w:val="a3"/>
              <w:jc w:val="both"/>
              <w:rPr>
                <w:color w:val="626262"/>
                <w:sz w:val="20"/>
                <w:szCs w:val="20"/>
              </w:rPr>
            </w:pPr>
            <w:r>
              <w:rPr>
                <w:color w:val="626262"/>
                <w:sz w:val="20"/>
                <w:szCs w:val="20"/>
              </w:rPr>
              <w:t>AG33     Экономические характеристики и риски встроенного производного инструмента имеют тесную связь с экономическими характеристиками и рисками основного договора в следующих далее примерах. В этих примерах предприятие не учитывает встроенный производный инструмент отдельно от основного договора.</w:t>
            </w:r>
          </w:p>
          <w:p w:rsidR="00BB1376" w:rsidRDefault="00BB1376" w:rsidP="00BB1376">
            <w:pPr>
              <w:pStyle w:val="a3"/>
              <w:jc w:val="both"/>
              <w:rPr>
                <w:color w:val="626262"/>
                <w:sz w:val="20"/>
                <w:szCs w:val="20"/>
              </w:rPr>
            </w:pPr>
            <w:r>
              <w:rPr>
                <w:color w:val="626262"/>
                <w:sz w:val="20"/>
                <w:szCs w:val="20"/>
              </w:rPr>
              <w:t>(а)           Встроенный производный инструмент, в основе которого лежит процентная ставка или индекс процентной ставки, который может изменить сумму процентов, выплачиваемых или получаемых по процентному основному долговому договору или договору страхования, имеет тесную связь с основным договором, кроме случаев, когда расчеты по комбинированному договору могут быть произведены таким образом, что его владелец не сможет возместить практически всю балансовую стоимость своих инвестиций или встроенный производный инструмент может, как минимум, удвоить первоначальную норму доходности владельца по основному договору и привести к норме доходности, по меньшей мере в два раза превышающей рыночную доходность по договорам, имеющим такие же условия, что и основной договор;</w:t>
            </w:r>
          </w:p>
          <w:p w:rsidR="00BB1376" w:rsidRDefault="00BB1376" w:rsidP="00BB1376">
            <w:pPr>
              <w:pStyle w:val="a3"/>
              <w:jc w:val="both"/>
              <w:rPr>
                <w:color w:val="626262"/>
                <w:sz w:val="20"/>
                <w:szCs w:val="20"/>
              </w:rPr>
            </w:pPr>
            <w:r>
              <w:rPr>
                <w:color w:val="626262"/>
                <w:sz w:val="20"/>
                <w:szCs w:val="20"/>
              </w:rPr>
              <w:t>(b)           встроенный «флор» или «кэп» процентной ставки по долговому договору или договору страхования тесно связан с основным договором при условии, что в момент выпуска инструмента «кэп» находится на уровне рыночной ставки процента или превышает ее, а «флор» находится на уровне рыночной ставки процента или меньше ее, при этом «кэп» и «флор» не подвержены эффекту рычага (левереджу) по отношению к основному договору. Аналогичным образом условия, включенные в договор на покупку или продажу актива (например, товара), которые устанавливают «кэп» и «флор» цены, подлежащей уплате или получению за этот актив, тесно связаны с основным договором, если «кэп» и «флор» были невыгодными в момент заключения договора и не подвержены эффекту рычага (левереджу);</w:t>
            </w:r>
          </w:p>
          <w:p w:rsidR="00BB1376" w:rsidRDefault="00BB1376" w:rsidP="00BB1376">
            <w:pPr>
              <w:pStyle w:val="a3"/>
              <w:jc w:val="both"/>
              <w:rPr>
                <w:color w:val="626262"/>
                <w:sz w:val="20"/>
                <w:szCs w:val="20"/>
              </w:rPr>
            </w:pPr>
            <w:r>
              <w:rPr>
                <w:color w:val="626262"/>
                <w:sz w:val="20"/>
                <w:szCs w:val="20"/>
              </w:rPr>
              <w:t>(c)           Встроенный валютный производный инструмент, который обеспечивает поток выплат процентов или основной суммы, выраженных в иностранной валюте, и встроен в основной долговой инструмент (например, облигация, выраженная в двух валютах), тесно связан с основным долговым инструментом. Такой производный инструмент не отделяется от основного инструмента, поскольку в соответствии с МСФО (IAS) 21</w:t>
            </w:r>
            <w:r>
              <w:rPr>
                <w:rStyle w:val="apple-converted-space"/>
                <w:color w:val="626262"/>
                <w:sz w:val="20"/>
                <w:szCs w:val="20"/>
              </w:rPr>
              <w:t> </w:t>
            </w:r>
            <w:r>
              <w:rPr>
                <w:rStyle w:val="a5"/>
                <w:color w:val="626262"/>
                <w:sz w:val="20"/>
                <w:szCs w:val="20"/>
              </w:rPr>
              <w:t>«Влияние изменений обменных курсов валют»</w:t>
            </w:r>
            <w:r>
              <w:rPr>
                <w:rStyle w:val="apple-converted-space"/>
                <w:color w:val="626262"/>
                <w:sz w:val="20"/>
                <w:szCs w:val="20"/>
              </w:rPr>
              <w:t> </w:t>
            </w:r>
            <w:r>
              <w:rPr>
                <w:color w:val="626262"/>
                <w:sz w:val="20"/>
                <w:szCs w:val="20"/>
              </w:rPr>
              <w:t>прибыли или убытки от изменения курсов иностранных валют по монетарным статьям требуется признавать в составе прибыли или убытка.</w:t>
            </w:r>
          </w:p>
          <w:p w:rsidR="00BB1376" w:rsidRDefault="00BB1376" w:rsidP="00BB1376">
            <w:pPr>
              <w:pStyle w:val="a3"/>
              <w:jc w:val="both"/>
              <w:rPr>
                <w:color w:val="626262"/>
                <w:sz w:val="20"/>
                <w:szCs w:val="20"/>
              </w:rPr>
            </w:pPr>
            <w:r>
              <w:rPr>
                <w:color w:val="626262"/>
                <w:sz w:val="20"/>
                <w:szCs w:val="20"/>
              </w:rPr>
              <w:t>(d)           валютный производный инструмент, встроенный в основной договор, являющийся страховым договором или не являющийся финансовым инструментом (например, договор на покупку или продажу нефинансовой статьи, цена по которому выражена в иностранной валюте), тесно связан с основным договором при условии, что он не подвержен эффекту рычага (левереджу), не содержит признаков опциона и платежи должны быть выражены в одной из следующих валют:</w:t>
            </w:r>
          </w:p>
          <w:p w:rsidR="00BB1376" w:rsidRDefault="00BB1376" w:rsidP="00BB1376">
            <w:pPr>
              <w:pStyle w:val="a3"/>
              <w:jc w:val="both"/>
              <w:rPr>
                <w:color w:val="626262"/>
                <w:sz w:val="20"/>
                <w:szCs w:val="20"/>
              </w:rPr>
            </w:pPr>
            <w:r>
              <w:rPr>
                <w:color w:val="626262"/>
                <w:sz w:val="20"/>
                <w:szCs w:val="20"/>
              </w:rPr>
              <w:t>(i)            функциональной валюте одной из основных сторон по договору;</w:t>
            </w:r>
          </w:p>
          <w:p w:rsidR="00BB1376" w:rsidRDefault="00BB1376" w:rsidP="00BB1376">
            <w:pPr>
              <w:pStyle w:val="a3"/>
              <w:jc w:val="both"/>
              <w:rPr>
                <w:color w:val="626262"/>
                <w:sz w:val="20"/>
                <w:szCs w:val="20"/>
              </w:rPr>
            </w:pPr>
            <w:r>
              <w:rPr>
                <w:color w:val="626262"/>
                <w:sz w:val="20"/>
                <w:szCs w:val="20"/>
              </w:rPr>
              <w:t>(ii)           валюте, в которой обычно выражается цена соответствующего приобретаемого или поставляемого товара или услуги в ходе коммерческих операций по всему миру (например, доллар США для операций с сырой нефтью); или</w:t>
            </w:r>
          </w:p>
          <w:p w:rsidR="00BB1376" w:rsidRDefault="00BB1376" w:rsidP="00BB1376">
            <w:pPr>
              <w:pStyle w:val="a3"/>
              <w:jc w:val="both"/>
              <w:rPr>
                <w:color w:val="626262"/>
                <w:sz w:val="20"/>
                <w:szCs w:val="20"/>
              </w:rPr>
            </w:pPr>
            <w:r>
              <w:rPr>
                <w:color w:val="626262"/>
                <w:sz w:val="20"/>
                <w:szCs w:val="20"/>
              </w:rPr>
              <w:t>(iii)          валюте, которая широко используется в договорах на покупку или продажу нефинансовых статей в экономической среде, в которой совершается операция (например, относительно стабильная и ликвидная валюта, обычно используемая при совершении внутренних и внешнеторговых операций).</w:t>
            </w:r>
          </w:p>
          <w:p w:rsidR="00BB1376" w:rsidRDefault="00BB1376" w:rsidP="00BB1376">
            <w:pPr>
              <w:pStyle w:val="a3"/>
              <w:jc w:val="both"/>
              <w:rPr>
                <w:color w:val="626262"/>
                <w:sz w:val="20"/>
                <w:szCs w:val="20"/>
              </w:rPr>
            </w:pPr>
            <w:r>
              <w:rPr>
                <w:color w:val="626262"/>
                <w:sz w:val="20"/>
                <w:szCs w:val="20"/>
              </w:rPr>
              <w:t>(e)           Встроенный опцион на досрочное погашение в процентном стрипе или стрипе основной суммы тесно связан с основным договором, при условии что основной договор (i) первоначально появился в результате отделения права на получение предусмотренных договором денежных потоков по финансовому инструменту, не содержавшему встроенного производного инструмента, и (ii) не содержит каких-либо условий, отсутствующих в первоначальном основном договоре в форме долгового инструмента.</w:t>
            </w:r>
          </w:p>
          <w:p w:rsidR="00BB1376" w:rsidRDefault="00BB1376" w:rsidP="00BB1376">
            <w:pPr>
              <w:pStyle w:val="a3"/>
              <w:jc w:val="both"/>
              <w:rPr>
                <w:color w:val="626262"/>
                <w:sz w:val="20"/>
                <w:szCs w:val="20"/>
              </w:rPr>
            </w:pPr>
            <w:r>
              <w:rPr>
                <w:color w:val="626262"/>
                <w:sz w:val="20"/>
                <w:szCs w:val="20"/>
              </w:rPr>
              <w:t xml:space="preserve">(f)            Встроенный производный инструмент в основном договоре аренды тесно связан с основным договором, если встроенный производный инструмент представляет собой (i) индекс, привязанный к инфляции, например, индексирование арендных платежей к индексу потребительских цен (при условии, что аренда не подвержена эффекту рычага (левереджу) и индекс привязан к инфляции в экономической среде, в которой действует предприятие), (ii) условную арендную плату, основанную на соответствующем объеме </w:t>
            </w:r>
            <w:r>
              <w:rPr>
                <w:color w:val="626262"/>
                <w:sz w:val="20"/>
                <w:szCs w:val="20"/>
              </w:rPr>
              <w:lastRenderedPageBreak/>
              <w:t>реализации, или (iii) условную арендную плату, основанную на плавающих ставках процента.</w:t>
            </w:r>
          </w:p>
          <w:p w:rsidR="00BB1376" w:rsidRDefault="00BB1376" w:rsidP="00BB1376">
            <w:pPr>
              <w:pStyle w:val="a3"/>
              <w:jc w:val="both"/>
              <w:rPr>
                <w:color w:val="626262"/>
                <w:sz w:val="20"/>
                <w:szCs w:val="20"/>
              </w:rPr>
            </w:pPr>
            <w:r>
              <w:rPr>
                <w:color w:val="626262"/>
                <w:sz w:val="20"/>
                <w:szCs w:val="20"/>
              </w:rPr>
              <w:t>(g)           возможность связывания с единицей, встроенная в основной финансовый инструмент (или основной договор страхования) тесно связана с основным инструментом или основным договором, если платежи, выраженные в единицах, измерены по текущей стоимости единиц, отражающих справедливую стоимость активов фонда. Возможность связывания с единицей является договорным условием, требующим осуществления платежей в единицах внутреннего или внешнего инвестиционного фонда;</w:t>
            </w:r>
          </w:p>
          <w:p w:rsidR="00BB1376" w:rsidRDefault="00BB1376" w:rsidP="00BB1376">
            <w:pPr>
              <w:pStyle w:val="a3"/>
              <w:jc w:val="both"/>
              <w:rPr>
                <w:color w:val="626262"/>
                <w:sz w:val="20"/>
                <w:szCs w:val="20"/>
              </w:rPr>
            </w:pPr>
            <w:r>
              <w:rPr>
                <w:color w:val="626262"/>
                <w:sz w:val="20"/>
                <w:szCs w:val="20"/>
              </w:rPr>
              <w:t>(h)           производный инструмент, встроенный в договор страхования, тесно связан с основным договором страхования, если встроенный производный инструмент и основной договор страхования настолько взаимозависимы, что предприятие не может измерить встроенный производный инструмент отдельно (т.е. без рассмотрения основного договора).</w:t>
            </w:r>
          </w:p>
          <w:p w:rsidR="00BB1376" w:rsidRDefault="00BB1376" w:rsidP="00BB1376">
            <w:pPr>
              <w:pStyle w:val="a3"/>
              <w:jc w:val="both"/>
              <w:rPr>
                <w:color w:val="626262"/>
                <w:sz w:val="20"/>
                <w:szCs w:val="20"/>
              </w:rPr>
            </w:pPr>
            <w:r>
              <w:rPr>
                <w:color w:val="626262"/>
                <w:sz w:val="20"/>
                <w:szCs w:val="20"/>
              </w:rPr>
              <w:t>Инструменты, содержащие встроенные производные инструменты</w:t>
            </w:r>
          </w:p>
          <w:p w:rsidR="00BB1376" w:rsidRDefault="00BB1376" w:rsidP="00BB1376">
            <w:pPr>
              <w:pStyle w:val="a3"/>
              <w:jc w:val="both"/>
              <w:rPr>
                <w:color w:val="626262"/>
                <w:sz w:val="20"/>
                <w:szCs w:val="20"/>
              </w:rPr>
            </w:pPr>
            <w:r>
              <w:rPr>
                <w:color w:val="626262"/>
                <w:sz w:val="20"/>
                <w:szCs w:val="20"/>
              </w:rPr>
              <w:t>AG33A  Если предприятие становится стороной гибридного (комбинированного) инструмента, содержащего один или более встроенных производных инструментов, в соответствии с пунктом 11 предприятие обязано идентифицировать любой такой встроенный производный инструмент, оценить необходимость его отделения от основного договора и, применительно к тем инструментам, для которых это необходимо, измерять производные инструменты по справедливой стоимости при первоначальном признании и впоследствии. Эти требования могут оказаться более сложными или привести к возникновению менее надежных оценок по сравнению с измерением по справедливой стоимости через прибыль или убыток целиком всего инструмента. По этой причине настоящий стандарт разрешает классифицировать как учитываемый по справедливой стоимости через прибыль или убыток весь инструмент целиком.</w:t>
            </w:r>
          </w:p>
          <w:p w:rsidR="00BB1376" w:rsidRDefault="00BB1376" w:rsidP="00BB1376">
            <w:pPr>
              <w:pStyle w:val="a3"/>
              <w:jc w:val="both"/>
              <w:rPr>
                <w:color w:val="626262"/>
                <w:sz w:val="20"/>
                <w:szCs w:val="20"/>
              </w:rPr>
            </w:pPr>
            <w:r>
              <w:rPr>
                <w:color w:val="626262"/>
                <w:sz w:val="20"/>
                <w:szCs w:val="20"/>
              </w:rPr>
              <w:t>AG33B  Такую классификацию может использовать вне зависимости от того, разрешено ли отделение встроенных производных инструментов от основного договора согласно пункту 11 или же нет. Однако пункт 11A не может использоваться для обоснования классификации гибридного (комбинированного) инструмента как учитываемого по справедливой стоимости через прибыль или убыток в случаях, предусмотренных пунктом 11A(a) и (b), поскольку это не приводит ни к упрощению учета, ни к повышению надежности информации.</w:t>
            </w:r>
          </w:p>
          <w:p w:rsidR="00BB1376" w:rsidRDefault="00BB1376" w:rsidP="00BB1376">
            <w:pPr>
              <w:pStyle w:val="a3"/>
              <w:jc w:val="both"/>
              <w:rPr>
                <w:color w:val="626262"/>
                <w:sz w:val="20"/>
                <w:szCs w:val="20"/>
              </w:rPr>
            </w:pPr>
            <w:r>
              <w:rPr>
                <w:color w:val="626262"/>
                <w:sz w:val="20"/>
                <w:szCs w:val="20"/>
              </w:rPr>
              <w:t>Признание и прекращение признания (параграфы 14-42)</w:t>
            </w:r>
          </w:p>
          <w:p w:rsidR="00BB1376" w:rsidRDefault="00BB1376" w:rsidP="00BB1376">
            <w:pPr>
              <w:pStyle w:val="a3"/>
              <w:jc w:val="both"/>
              <w:rPr>
                <w:color w:val="626262"/>
                <w:sz w:val="20"/>
                <w:szCs w:val="20"/>
              </w:rPr>
            </w:pPr>
            <w:r>
              <w:rPr>
                <w:color w:val="626262"/>
                <w:sz w:val="20"/>
                <w:szCs w:val="20"/>
              </w:rPr>
              <w:t>Первоначальное признание (параграф 14)</w:t>
            </w:r>
          </w:p>
          <w:p w:rsidR="00BB1376" w:rsidRDefault="00BB1376" w:rsidP="00BB1376">
            <w:pPr>
              <w:pStyle w:val="a3"/>
              <w:jc w:val="both"/>
              <w:rPr>
                <w:color w:val="626262"/>
                <w:sz w:val="20"/>
                <w:szCs w:val="20"/>
              </w:rPr>
            </w:pPr>
            <w:r>
              <w:rPr>
                <w:color w:val="626262"/>
                <w:sz w:val="20"/>
                <w:szCs w:val="20"/>
              </w:rPr>
              <w:t>AG34     В соответствии с принципом, содержащимся в параграфе 14, предприятие признает все свои договорные права и обязательства по производным инструментам в своем балансе соответственно как активы и обязательства, за исключением производных инструментов, в результате которых передача финансовых активов не учитывается как продажа (см. параграф AG49). Если передача финансового актива не удовлетворяет критериям прекращения признания, то принимающая сторона не признает переданный актив как принадлежащий ей (см. параграф AG50).</w:t>
            </w:r>
          </w:p>
          <w:p w:rsidR="00BB1376" w:rsidRDefault="00BB1376" w:rsidP="00BB1376">
            <w:pPr>
              <w:pStyle w:val="a3"/>
              <w:jc w:val="both"/>
              <w:rPr>
                <w:color w:val="626262"/>
                <w:sz w:val="20"/>
                <w:szCs w:val="20"/>
              </w:rPr>
            </w:pPr>
            <w:r>
              <w:rPr>
                <w:color w:val="626262"/>
                <w:sz w:val="20"/>
                <w:szCs w:val="20"/>
              </w:rPr>
              <w:t>AG35     Ниже следуют примеры применения принципа, изложенного в параграфе 14:</w:t>
            </w:r>
          </w:p>
          <w:p w:rsidR="00BB1376" w:rsidRDefault="00BB1376" w:rsidP="00BB1376">
            <w:pPr>
              <w:pStyle w:val="a3"/>
              <w:jc w:val="both"/>
              <w:rPr>
                <w:color w:val="626262"/>
                <w:sz w:val="20"/>
                <w:szCs w:val="20"/>
              </w:rPr>
            </w:pPr>
            <w:r>
              <w:rPr>
                <w:color w:val="626262"/>
                <w:sz w:val="20"/>
                <w:szCs w:val="20"/>
              </w:rPr>
              <w:t>(а)           безусловная дебиторская и кредиторская задолженность признается как актив или обязательство с момента вступления предприятия в договорные отношения, в результате которых у него возникают юридические права на получение денежных средств или юридическое обязательство выплатить денежные средства;</w:t>
            </w:r>
          </w:p>
          <w:p w:rsidR="00BB1376" w:rsidRDefault="00BB1376" w:rsidP="00BB1376">
            <w:pPr>
              <w:pStyle w:val="a3"/>
              <w:jc w:val="both"/>
              <w:rPr>
                <w:color w:val="626262"/>
                <w:sz w:val="20"/>
                <w:szCs w:val="20"/>
              </w:rPr>
            </w:pPr>
            <w:r>
              <w:rPr>
                <w:color w:val="626262"/>
                <w:sz w:val="20"/>
                <w:szCs w:val="20"/>
              </w:rPr>
              <w:t xml:space="preserve">(b)           активы и обязательства, возникающие в результате твердых соглашений на покупку или продажу товаров или услуг, обычно не признаются до тех пор, пока хотя бы одна из сторон не совершит такие действия согласно договору. Например, предприятие, получившее твердый заказ, обычно не признает актив (а предприятие, сделавшее заказ, не признает обязательство) в момент заключения соглашения; вместо этого оно откладывает признание до момента отгрузки, поставки заказанных товаров или оказания услуг. Если твердое соглашение на покупку или продажу нефинансовых статей входит в сферу применения настоящего стандарта в соответствии с параграфами 5-7, то его чистая справедливая стоимость признается как актив или обязательство на дату заключения соглашения (см. пункт (с) ниже). Кроме того, если ранее непризнанное твердое соглашение определяется в качестве хеджируемой статьи при хеджировании справедливой стоимости, то изменения чистой справедливой стоимости, связанные с хеджируемым риском, признаются </w:t>
            </w:r>
            <w:r>
              <w:rPr>
                <w:color w:val="626262"/>
                <w:sz w:val="20"/>
                <w:szCs w:val="20"/>
              </w:rPr>
              <w:lastRenderedPageBreak/>
              <w:t>как актив или обязательство после начала хеджирования (см. параграфы 93 и 94);</w:t>
            </w:r>
          </w:p>
          <w:p w:rsidR="00BB1376" w:rsidRDefault="00BB1376" w:rsidP="00BB1376">
            <w:pPr>
              <w:pStyle w:val="a3"/>
              <w:jc w:val="both"/>
              <w:rPr>
                <w:color w:val="626262"/>
                <w:sz w:val="20"/>
                <w:szCs w:val="20"/>
              </w:rPr>
            </w:pPr>
            <w:r>
              <w:rPr>
                <w:color w:val="626262"/>
                <w:sz w:val="20"/>
                <w:szCs w:val="20"/>
              </w:rPr>
              <w:t>(c)           форвардный контракт, входящий в сферу применения настоящего стандарта (см. параграфы 2-7), признается как актив или обязательство на дату заключения соглашения, а не на дату проведения расчетов. При заключении форвардного контракта справедливая стоимость прав и обязательств зачастую совпадают, поэтому чистая справедливая стоимость форвардного контракта равна нулю. Если чистая справедливая стоимость прав и обязательств не равна нулю, то контракт признается как актив или обязательство;</w:t>
            </w:r>
          </w:p>
          <w:p w:rsidR="00BB1376" w:rsidRDefault="00BB1376" w:rsidP="00BB1376">
            <w:pPr>
              <w:pStyle w:val="a3"/>
              <w:jc w:val="both"/>
              <w:rPr>
                <w:color w:val="626262"/>
                <w:sz w:val="20"/>
                <w:szCs w:val="20"/>
              </w:rPr>
            </w:pPr>
            <w:r>
              <w:rPr>
                <w:color w:val="626262"/>
                <w:sz w:val="20"/>
                <w:szCs w:val="20"/>
              </w:rPr>
              <w:t>(d)           опционные контракты, которые входят в сферу применения настоящего стандарта (см. параграфы 2-7), признаются в качестве активов или обязательств, когда владелец опциона или выпускающее его лицо становится стороной по договору;</w:t>
            </w:r>
          </w:p>
          <w:p w:rsidR="00BB1376" w:rsidRDefault="00BB1376" w:rsidP="00BB1376">
            <w:pPr>
              <w:pStyle w:val="a3"/>
              <w:jc w:val="both"/>
              <w:rPr>
                <w:color w:val="626262"/>
                <w:sz w:val="20"/>
                <w:szCs w:val="20"/>
              </w:rPr>
            </w:pPr>
            <w:r>
              <w:rPr>
                <w:color w:val="626262"/>
                <w:sz w:val="20"/>
                <w:szCs w:val="20"/>
              </w:rPr>
              <w:t>(e)           запланированные будущие операции, независимо от вероятности их совершения, не являются активами и обязательствами, так как предприятие не стало стороной по договору.</w:t>
            </w:r>
          </w:p>
          <w:p w:rsidR="00BB1376" w:rsidRDefault="00BB1376" w:rsidP="00BB1376">
            <w:pPr>
              <w:pStyle w:val="a3"/>
              <w:jc w:val="both"/>
              <w:rPr>
                <w:color w:val="626262"/>
                <w:sz w:val="20"/>
                <w:szCs w:val="20"/>
              </w:rPr>
            </w:pPr>
            <w:r>
              <w:rPr>
                <w:color w:val="626262"/>
                <w:sz w:val="20"/>
                <w:szCs w:val="20"/>
              </w:rPr>
              <w:t>Прекращение признания финансового актива (параграфы 15-37)</w:t>
            </w:r>
          </w:p>
          <w:p w:rsidR="00BB1376" w:rsidRDefault="00BB1376" w:rsidP="00BB1376">
            <w:pPr>
              <w:pStyle w:val="a3"/>
              <w:jc w:val="both"/>
              <w:rPr>
                <w:color w:val="626262"/>
                <w:sz w:val="20"/>
                <w:szCs w:val="20"/>
              </w:rPr>
            </w:pPr>
            <w:r>
              <w:rPr>
                <w:color w:val="626262"/>
                <w:sz w:val="20"/>
                <w:szCs w:val="20"/>
              </w:rPr>
              <w:t>AG36     Следующая диаграмма иллюстрирует процесс оценки того, нужно ли прекратить признание финансового актива и в какой степени.</w:t>
            </w:r>
          </w:p>
          <w:p w:rsidR="00BB1376" w:rsidRDefault="00BB1376" w:rsidP="00BB1376">
            <w:pPr>
              <w:jc w:val="both"/>
              <w:rPr>
                <w:color w:val="626262"/>
                <w:sz w:val="20"/>
                <w:szCs w:val="20"/>
              </w:rPr>
            </w:pPr>
            <w:r>
              <w:rPr>
                <w:noProof/>
                <w:color w:val="626262"/>
                <w:sz w:val="20"/>
                <w:szCs w:val="20"/>
              </w:rPr>
              <w:drawing>
                <wp:inline distT="0" distB="0" distL="0" distR="0">
                  <wp:extent cx="4953000" cy="4953000"/>
                  <wp:effectExtent l="19050" t="0" r="0" b="0"/>
                  <wp:docPr id="1" name="Рисунок 1" descr="http://www.kz-adviser.kz/images/ifrs/sche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z-adviser.kz/images/ifrs/scheme.jpg"/>
                          <pic:cNvPicPr>
                            <a:picLocks noChangeAspect="1" noChangeArrowheads="1"/>
                          </pic:cNvPicPr>
                        </pic:nvPicPr>
                        <pic:blipFill>
                          <a:blip r:embed="rId5" cstate="print"/>
                          <a:srcRect/>
                          <a:stretch>
                            <a:fillRect/>
                          </a:stretch>
                        </pic:blipFill>
                        <pic:spPr bwMode="auto">
                          <a:xfrm>
                            <a:off x="0" y="0"/>
                            <a:ext cx="4953000" cy="4953000"/>
                          </a:xfrm>
                          <a:prstGeom prst="rect">
                            <a:avLst/>
                          </a:prstGeom>
                          <a:noFill/>
                          <a:ln w="9525">
                            <a:noFill/>
                            <a:miter lim="800000"/>
                            <a:headEnd/>
                            <a:tailEnd/>
                          </a:ln>
                        </pic:spPr>
                      </pic:pic>
                    </a:graphicData>
                  </a:graphic>
                </wp:inline>
              </w:drawing>
            </w:r>
          </w:p>
          <w:tbl>
            <w:tblPr>
              <w:tblW w:w="5000" w:type="pct"/>
              <w:tblCellSpacing w:w="0" w:type="dxa"/>
              <w:tblCellMar>
                <w:left w:w="0" w:type="dxa"/>
                <w:right w:w="0" w:type="dxa"/>
              </w:tblCellMar>
              <w:tblLook w:val="04A0"/>
            </w:tblPr>
            <w:tblGrid>
              <w:gridCol w:w="9355"/>
            </w:tblGrid>
            <w:tr w:rsidR="00BB1376" w:rsidTr="00BB1376">
              <w:trPr>
                <w:tblCellSpacing w:w="0" w:type="dxa"/>
              </w:trPr>
              <w:tc>
                <w:tcPr>
                  <w:tcW w:w="0" w:type="auto"/>
                  <w:vAlign w:val="center"/>
                  <w:hideMark/>
                </w:tcPr>
                <w:p w:rsidR="00BB1376" w:rsidRDefault="00BB1376">
                  <w:pPr>
                    <w:jc w:val="both"/>
                    <w:rPr>
                      <w:color w:val="626262"/>
                      <w:sz w:val="20"/>
                      <w:szCs w:val="20"/>
                    </w:rPr>
                  </w:pPr>
                </w:p>
              </w:tc>
            </w:tr>
          </w:tbl>
          <w:p w:rsidR="00BB1376" w:rsidRDefault="00BB1376" w:rsidP="00BB1376">
            <w:pPr>
              <w:pStyle w:val="a3"/>
              <w:jc w:val="both"/>
              <w:rPr>
                <w:color w:val="626262"/>
                <w:sz w:val="20"/>
                <w:szCs w:val="20"/>
              </w:rPr>
            </w:pPr>
            <w:r>
              <w:rPr>
                <w:color w:val="626262"/>
                <w:sz w:val="20"/>
                <w:szCs w:val="20"/>
              </w:rPr>
              <w:t> </w:t>
            </w:r>
          </w:p>
          <w:tbl>
            <w:tblPr>
              <w:tblW w:w="5000" w:type="pct"/>
              <w:tblCellSpacing w:w="0" w:type="dxa"/>
              <w:tblCellMar>
                <w:left w:w="0" w:type="dxa"/>
                <w:right w:w="0" w:type="dxa"/>
              </w:tblCellMar>
              <w:tblLook w:val="04A0"/>
            </w:tblPr>
            <w:tblGrid>
              <w:gridCol w:w="9355"/>
            </w:tblGrid>
            <w:tr w:rsidR="00BB1376" w:rsidTr="00BB1376">
              <w:trPr>
                <w:tblCellSpacing w:w="0" w:type="dxa"/>
              </w:trPr>
              <w:tc>
                <w:tcPr>
                  <w:tcW w:w="0" w:type="auto"/>
                  <w:vAlign w:val="center"/>
                  <w:hideMark/>
                </w:tcPr>
                <w:p w:rsidR="00BB1376" w:rsidRDefault="00BB1376">
                  <w:pPr>
                    <w:jc w:val="both"/>
                    <w:rPr>
                      <w:color w:val="626262"/>
                      <w:sz w:val="20"/>
                      <w:szCs w:val="20"/>
                    </w:rPr>
                  </w:pPr>
                </w:p>
              </w:tc>
            </w:tr>
          </w:tbl>
          <w:p w:rsidR="00BB1376" w:rsidRDefault="00BB1376" w:rsidP="00BB1376">
            <w:pPr>
              <w:jc w:val="both"/>
              <w:rPr>
                <w:vanish/>
                <w:color w:val="626262"/>
                <w:sz w:val="20"/>
                <w:szCs w:val="20"/>
              </w:rPr>
            </w:pPr>
          </w:p>
          <w:tbl>
            <w:tblPr>
              <w:tblW w:w="0" w:type="auto"/>
              <w:tblCellSpacing w:w="0" w:type="dxa"/>
              <w:tblCellMar>
                <w:left w:w="0" w:type="dxa"/>
                <w:right w:w="0" w:type="dxa"/>
              </w:tblCellMar>
              <w:tblLook w:val="04A0"/>
            </w:tblPr>
            <w:tblGrid>
              <w:gridCol w:w="8565"/>
            </w:tblGrid>
            <w:tr w:rsidR="00BB1376" w:rsidTr="00BB1376">
              <w:trPr>
                <w:tblCellSpacing w:w="0" w:type="dxa"/>
              </w:trPr>
              <w:tc>
                <w:tcPr>
                  <w:tcW w:w="8565" w:type="dxa"/>
                  <w:hideMark/>
                </w:tcPr>
                <w:p w:rsidR="00BB1376" w:rsidRDefault="00BB1376">
                  <w:pPr>
                    <w:pStyle w:val="a3"/>
                    <w:rPr>
                      <w:color w:val="626262"/>
                      <w:sz w:val="20"/>
                      <w:szCs w:val="20"/>
                    </w:rPr>
                  </w:pPr>
                  <w:r>
                    <w:rPr>
                      <w:rStyle w:val="a5"/>
                      <w:color w:val="626262"/>
                      <w:sz w:val="20"/>
                      <w:szCs w:val="20"/>
                    </w:rPr>
                    <w:t>Соглашения, в соответствии с которыми предприятие сохраняет договорные права на получение потоков денежных средств от финансового актива, но принимает на себя договорное обязательство выплачивать денежные средства одному или более получателям (параграф 18(b).</w:t>
                  </w:r>
                </w:p>
              </w:tc>
            </w:tr>
          </w:tbl>
          <w:p w:rsidR="00BB1376" w:rsidRDefault="00BB1376" w:rsidP="00BB1376">
            <w:pPr>
              <w:pStyle w:val="a3"/>
              <w:jc w:val="both"/>
              <w:rPr>
                <w:color w:val="626262"/>
                <w:sz w:val="20"/>
                <w:szCs w:val="20"/>
              </w:rPr>
            </w:pPr>
            <w:r>
              <w:rPr>
                <w:color w:val="626262"/>
                <w:sz w:val="20"/>
                <w:szCs w:val="20"/>
              </w:rPr>
              <w:lastRenderedPageBreak/>
              <w:t>AG37     Ситуация, описанная в параграфе 18(b) (когда предприятие сохраняет договорные права на получение потоков денежных средств от финансового актива, но принимает на себя договорное обязательство выплачивать эти денежные средства одному или более получателям), возникает, например, в том случае, если предприятие является предприятием специального назначения или трастовой компанией и предоставляет инвесторам бенефициарное участие в принадлежащих ему финансовых активах и обеспечивает обслуживание этих финансовых активов. В таком случае финансовые активы удовлетворяют критериям прекращения признания, если выполняются условия, содержащиеся в параграфах 19 и 20.</w:t>
            </w:r>
          </w:p>
          <w:p w:rsidR="00BB1376" w:rsidRDefault="00BB1376" w:rsidP="00BB1376">
            <w:pPr>
              <w:pStyle w:val="a3"/>
              <w:jc w:val="both"/>
              <w:rPr>
                <w:color w:val="626262"/>
                <w:sz w:val="20"/>
                <w:szCs w:val="20"/>
              </w:rPr>
            </w:pPr>
            <w:r>
              <w:rPr>
                <w:color w:val="626262"/>
                <w:sz w:val="20"/>
                <w:szCs w:val="20"/>
              </w:rPr>
              <w:t>AG38     Применяя параграф 19, предприятие может быть, например, создателем финансового актива или может представлять собой группу, включающую в себя консолидированное предприятие специального назначения, которое приобрело финансовый актив и передает денежные потоки несвязанным третьим сторонам-инвесторам.</w:t>
            </w:r>
          </w:p>
          <w:tbl>
            <w:tblPr>
              <w:tblW w:w="0" w:type="auto"/>
              <w:tblCellSpacing w:w="0" w:type="dxa"/>
              <w:tblCellMar>
                <w:left w:w="0" w:type="dxa"/>
                <w:right w:w="0" w:type="dxa"/>
              </w:tblCellMar>
              <w:tblLook w:val="04A0"/>
            </w:tblPr>
            <w:tblGrid>
              <w:gridCol w:w="8565"/>
            </w:tblGrid>
            <w:tr w:rsidR="00BB1376" w:rsidTr="00BB1376">
              <w:trPr>
                <w:tblCellSpacing w:w="0" w:type="dxa"/>
              </w:trPr>
              <w:tc>
                <w:tcPr>
                  <w:tcW w:w="8565" w:type="dxa"/>
                  <w:hideMark/>
                </w:tcPr>
                <w:p w:rsidR="00BB1376" w:rsidRDefault="00BB1376">
                  <w:pPr>
                    <w:pStyle w:val="a3"/>
                    <w:rPr>
                      <w:color w:val="626262"/>
                      <w:sz w:val="20"/>
                      <w:szCs w:val="20"/>
                    </w:rPr>
                  </w:pPr>
                  <w:r>
                    <w:rPr>
                      <w:rStyle w:val="a5"/>
                      <w:color w:val="626262"/>
                      <w:sz w:val="20"/>
                      <w:szCs w:val="20"/>
                    </w:rPr>
                    <w:t>Оценка передачи рисков и вознаграждений, связанных с владением активом (параграф 20)</w:t>
                  </w:r>
                </w:p>
              </w:tc>
            </w:tr>
          </w:tbl>
          <w:p w:rsidR="00BB1376" w:rsidRDefault="00BB1376" w:rsidP="00BB1376">
            <w:pPr>
              <w:pStyle w:val="a3"/>
              <w:jc w:val="both"/>
              <w:rPr>
                <w:color w:val="626262"/>
                <w:sz w:val="20"/>
                <w:szCs w:val="20"/>
              </w:rPr>
            </w:pPr>
            <w:r>
              <w:rPr>
                <w:color w:val="626262"/>
                <w:sz w:val="20"/>
                <w:szCs w:val="20"/>
              </w:rPr>
              <w:t>AG39     Примерами ситуаций, когда предприятие передало практически все риски и вознаграждения, связанные с владением активом, являются:</w:t>
            </w:r>
          </w:p>
          <w:p w:rsidR="00BB1376" w:rsidRDefault="00BB1376" w:rsidP="00BB1376">
            <w:pPr>
              <w:pStyle w:val="a3"/>
              <w:jc w:val="both"/>
              <w:rPr>
                <w:color w:val="626262"/>
                <w:sz w:val="20"/>
                <w:szCs w:val="20"/>
              </w:rPr>
            </w:pPr>
            <w:r>
              <w:rPr>
                <w:color w:val="626262"/>
                <w:sz w:val="20"/>
                <w:szCs w:val="20"/>
              </w:rPr>
              <w:t>(а)           безусловная продажа финансового актива;</w:t>
            </w:r>
          </w:p>
          <w:p w:rsidR="00BB1376" w:rsidRDefault="00BB1376" w:rsidP="00BB1376">
            <w:pPr>
              <w:pStyle w:val="a3"/>
              <w:jc w:val="both"/>
              <w:rPr>
                <w:color w:val="626262"/>
                <w:sz w:val="20"/>
                <w:szCs w:val="20"/>
              </w:rPr>
            </w:pPr>
            <w:r>
              <w:rPr>
                <w:color w:val="626262"/>
                <w:sz w:val="20"/>
                <w:szCs w:val="20"/>
              </w:rPr>
              <w:t>(b)           продажа финансового актива вместе с опционом на его обратную покупку по справедливой стоимости на дату обратной покупки;</w:t>
            </w:r>
          </w:p>
          <w:p w:rsidR="00BB1376" w:rsidRDefault="00BB1376" w:rsidP="00BB1376">
            <w:pPr>
              <w:pStyle w:val="a3"/>
              <w:jc w:val="both"/>
              <w:rPr>
                <w:color w:val="626262"/>
                <w:sz w:val="20"/>
                <w:szCs w:val="20"/>
              </w:rPr>
            </w:pPr>
            <w:r>
              <w:rPr>
                <w:color w:val="626262"/>
                <w:sz w:val="20"/>
                <w:szCs w:val="20"/>
              </w:rPr>
              <w:t>(c)           продажа финансового актива вместе с опционом на продажу или покупку с крайне невыгодной ценой исполнения (т.е. опцион имеет настолько невыгодную цену исполнения, что вряд ли она станет выгодной до истечения срока действия опциона).</w:t>
            </w:r>
          </w:p>
          <w:p w:rsidR="00BB1376" w:rsidRDefault="00BB1376" w:rsidP="00BB1376">
            <w:pPr>
              <w:pStyle w:val="a3"/>
              <w:jc w:val="both"/>
              <w:rPr>
                <w:color w:val="626262"/>
                <w:sz w:val="20"/>
                <w:szCs w:val="20"/>
              </w:rPr>
            </w:pPr>
            <w:r>
              <w:rPr>
                <w:color w:val="626262"/>
                <w:sz w:val="20"/>
                <w:szCs w:val="20"/>
              </w:rPr>
              <w:t>AG40     Примерами ситуаций, когда предприятие сохранило практически все риски и вознаграждения, связанные с владением активом, являются:</w:t>
            </w:r>
          </w:p>
          <w:p w:rsidR="00BB1376" w:rsidRDefault="00BB1376" w:rsidP="00BB1376">
            <w:pPr>
              <w:pStyle w:val="a3"/>
              <w:jc w:val="both"/>
              <w:rPr>
                <w:color w:val="626262"/>
                <w:sz w:val="20"/>
                <w:szCs w:val="20"/>
              </w:rPr>
            </w:pPr>
            <w:r>
              <w:rPr>
                <w:color w:val="626262"/>
                <w:sz w:val="20"/>
                <w:szCs w:val="20"/>
              </w:rPr>
              <w:t>(а)           операция продажи с обратной покупкой, когда цена обратной покупки является фиксированной или равна продажной цене плюс доход кредитора;</w:t>
            </w:r>
          </w:p>
          <w:p w:rsidR="00BB1376" w:rsidRDefault="00BB1376" w:rsidP="00BB1376">
            <w:pPr>
              <w:pStyle w:val="a3"/>
              <w:jc w:val="both"/>
              <w:rPr>
                <w:color w:val="626262"/>
                <w:sz w:val="20"/>
                <w:szCs w:val="20"/>
              </w:rPr>
            </w:pPr>
            <w:r>
              <w:rPr>
                <w:color w:val="626262"/>
                <w:sz w:val="20"/>
                <w:szCs w:val="20"/>
              </w:rPr>
              <w:t>(b)           договор о предоставлении займа в виде ценных бумаг;</w:t>
            </w:r>
          </w:p>
          <w:p w:rsidR="00BB1376" w:rsidRDefault="00BB1376" w:rsidP="00BB1376">
            <w:pPr>
              <w:pStyle w:val="a3"/>
              <w:jc w:val="both"/>
              <w:rPr>
                <w:color w:val="626262"/>
                <w:sz w:val="20"/>
                <w:szCs w:val="20"/>
              </w:rPr>
            </w:pPr>
            <w:r>
              <w:rPr>
                <w:color w:val="626262"/>
                <w:sz w:val="20"/>
                <w:szCs w:val="20"/>
              </w:rPr>
              <w:t>(c)           продажа финансового актива вместе со свопом совокупного дохода, который передает рыночный риск обратно предприятию;</w:t>
            </w:r>
          </w:p>
          <w:p w:rsidR="00BB1376" w:rsidRDefault="00BB1376" w:rsidP="00BB1376">
            <w:pPr>
              <w:pStyle w:val="a3"/>
              <w:jc w:val="both"/>
              <w:rPr>
                <w:color w:val="626262"/>
                <w:sz w:val="20"/>
                <w:szCs w:val="20"/>
              </w:rPr>
            </w:pPr>
            <w:r>
              <w:rPr>
                <w:color w:val="626262"/>
                <w:sz w:val="20"/>
                <w:szCs w:val="20"/>
              </w:rPr>
              <w:t>(d)           продажа финансового актива вместе с опционом на продажу или покупку с очень выгодной ценой исполнения (т.е. опцион имеет настолько выгодную цену исполнения, что вряд ли она станет невыгодной до истечения срока действия опциона);</w:t>
            </w:r>
          </w:p>
          <w:p w:rsidR="00BB1376" w:rsidRDefault="00BB1376" w:rsidP="00BB1376">
            <w:pPr>
              <w:pStyle w:val="a3"/>
              <w:jc w:val="both"/>
              <w:rPr>
                <w:color w:val="626262"/>
                <w:sz w:val="20"/>
                <w:szCs w:val="20"/>
              </w:rPr>
            </w:pPr>
            <w:r>
              <w:rPr>
                <w:color w:val="626262"/>
                <w:sz w:val="20"/>
                <w:szCs w:val="20"/>
              </w:rPr>
              <w:t>(e)           продажа краткосрочной дебиторской задолженности, при которой предприятие гарантирует принимающей стороне возмещение кредитных потерь, которые могут возникнуть.</w:t>
            </w:r>
          </w:p>
          <w:p w:rsidR="00BB1376" w:rsidRDefault="00BB1376" w:rsidP="00BB1376">
            <w:pPr>
              <w:pStyle w:val="a3"/>
              <w:jc w:val="both"/>
              <w:rPr>
                <w:color w:val="626262"/>
                <w:sz w:val="20"/>
                <w:szCs w:val="20"/>
              </w:rPr>
            </w:pPr>
            <w:r>
              <w:rPr>
                <w:color w:val="626262"/>
                <w:sz w:val="20"/>
                <w:szCs w:val="20"/>
              </w:rPr>
              <w:t>AG41     Если предприятие определяет, что в результате передачи оно передало практически все риски и вознаграждения, связанные с владением переданным активом, то оно не признает этот актив снова в будущем периоде, если только оно не приобретет обратно переданный актив в новой операции.</w:t>
            </w:r>
          </w:p>
          <w:tbl>
            <w:tblPr>
              <w:tblW w:w="0" w:type="auto"/>
              <w:tblCellSpacing w:w="0" w:type="dxa"/>
              <w:tblCellMar>
                <w:left w:w="0" w:type="dxa"/>
                <w:right w:w="0" w:type="dxa"/>
              </w:tblCellMar>
              <w:tblLook w:val="04A0"/>
            </w:tblPr>
            <w:tblGrid>
              <w:gridCol w:w="8550"/>
            </w:tblGrid>
            <w:tr w:rsidR="00BB1376" w:rsidTr="00BB1376">
              <w:trPr>
                <w:tblCellSpacing w:w="0" w:type="dxa"/>
              </w:trPr>
              <w:tc>
                <w:tcPr>
                  <w:tcW w:w="8550" w:type="dxa"/>
                  <w:hideMark/>
                </w:tcPr>
                <w:p w:rsidR="00BB1376" w:rsidRDefault="00BB1376">
                  <w:pPr>
                    <w:pStyle w:val="a3"/>
                    <w:rPr>
                      <w:color w:val="626262"/>
                      <w:sz w:val="20"/>
                      <w:szCs w:val="20"/>
                    </w:rPr>
                  </w:pPr>
                  <w:r>
                    <w:rPr>
                      <w:rStyle w:val="a5"/>
                      <w:color w:val="626262"/>
                      <w:sz w:val="20"/>
                      <w:szCs w:val="20"/>
                    </w:rPr>
                    <w:t>Оценка передачи контроля</w:t>
                  </w:r>
                </w:p>
              </w:tc>
            </w:tr>
          </w:tbl>
          <w:p w:rsidR="00BB1376" w:rsidRDefault="00BB1376" w:rsidP="00BB1376">
            <w:pPr>
              <w:pStyle w:val="a3"/>
              <w:jc w:val="both"/>
              <w:rPr>
                <w:color w:val="626262"/>
                <w:sz w:val="20"/>
                <w:szCs w:val="20"/>
              </w:rPr>
            </w:pPr>
            <w:r>
              <w:rPr>
                <w:color w:val="626262"/>
                <w:sz w:val="20"/>
                <w:szCs w:val="20"/>
              </w:rPr>
              <w:t xml:space="preserve">AG42     Предприятие не сохраняет контроль над переданным активом, если у принимающей стороны есть практическая возможность продать переданный актив. Предприятие сохраняет контроль над переданным активом, если у принимающей стороны нет практической возможности продать переданный актив. У принимающей стороны есть практическая возможность продать переданный актив, если он продается на активном рынке, поскольку принимающая сторона может обратно купить переданный актив на рынке, если ей нужно вернуть его предприятию. Например, принимающая сторона может иметь практическую возможность продать переданный актив, если у предприятия есть право обратной покупки переданного </w:t>
            </w:r>
            <w:r>
              <w:rPr>
                <w:color w:val="626262"/>
                <w:sz w:val="20"/>
                <w:szCs w:val="20"/>
              </w:rPr>
              <w:lastRenderedPageBreak/>
              <w:t>актива, но принимающая сторона может свободно приобрести передаваемый актив на рынке в случае, если это право будет реализовано. У принимающей стороны нет практической возможности продать переданный актив, если у предприятия есть такое право, но при этом принимающая сторона не может свободно приобрести переданный актив на рынке, если предприятие реализует свое право.</w:t>
            </w:r>
          </w:p>
          <w:p w:rsidR="00BB1376" w:rsidRDefault="00BB1376" w:rsidP="00BB1376">
            <w:pPr>
              <w:pStyle w:val="a3"/>
              <w:jc w:val="both"/>
              <w:rPr>
                <w:color w:val="626262"/>
                <w:sz w:val="20"/>
                <w:szCs w:val="20"/>
              </w:rPr>
            </w:pPr>
            <w:r>
              <w:rPr>
                <w:color w:val="626262"/>
                <w:sz w:val="20"/>
                <w:szCs w:val="20"/>
              </w:rPr>
              <w:t>AG43     У принимающей стороны есть практическая возможность продать переданный актив только в случае, если принимающая сторона может продать переданный актив целиком несвязанной третьей стороне и может использовать эту возможность односторонне и не налагая дополнительные ограничения на такую передачу. Важным вопросом является то, что может сделать принимающая сторона на практике, а не какие договорные права имеются у нее в отношении переданного актива или какие существуют договорные запреты. В частности:</w:t>
            </w:r>
          </w:p>
          <w:p w:rsidR="00BB1376" w:rsidRDefault="00BB1376" w:rsidP="00BB1376">
            <w:pPr>
              <w:pStyle w:val="a3"/>
              <w:jc w:val="both"/>
              <w:rPr>
                <w:color w:val="626262"/>
                <w:sz w:val="20"/>
                <w:szCs w:val="20"/>
              </w:rPr>
            </w:pPr>
            <w:r>
              <w:rPr>
                <w:color w:val="626262"/>
                <w:sz w:val="20"/>
                <w:szCs w:val="20"/>
              </w:rPr>
              <w:t>(а)           договорное право продать переданный актив имеет небольшой практический эффект, если не существует рынка для переданного актива; и</w:t>
            </w:r>
          </w:p>
          <w:p w:rsidR="00BB1376" w:rsidRDefault="00BB1376" w:rsidP="00BB1376">
            <w:pPr>
              <w:pStyle w:val="a3"/>
              <w:jc w:val="both"/>
              <w:rPr>
                <w:color w:val="626262"/>
                <w:sz w:val="20"/>
                <w:szCs w:val="20"/>
              </w:rPr>
            </w:pPr>
            <w:r>
              <w:rPr>
                <w:color w:val="626262"/>
                <w:sz w:val="20"/>
                <w:szCs w:val="20"/>
              </w:rPr>
              <w:t>(b)           возможность продать переданный актив имеет небольшой практический эффект, если эту возможность нельзя свободно реализовать. По этой причине:</w:t>
            </w:r>
          </w:p>
          <w:p w:rsidR="00BB1376" w:rsidRDefault="00BB1376" w:rsidP="00BB1376">
            <w:pPr>
              <w:pStyle w:val="a3"/>
              <w:jc w:val="both"/>
              <w:rPr>
                <w:color w:val="626262"/>
                <w:sz w:val="20"/>
                <w:szCs w:val="20"/>
              </w:rPr>
            </w:pPr>
            <w:r>
              <w:rPr>
                <w:color w:val="626262"/>
                <w:sz w:val="20"/>
                <w:szCs w:val="20"/>
              </w:rPr>
              <w:t>(i)            возможность продажи переданного актива принимающей стороной должна быть независимой от действий других сторон (т.е. эта возможность должна быть односторонней);</w:t>
            </w:r>
          </w:p>
          <w:p w:rsidR="00BB1376" w:rsidRDefault="00BB1376" w:rsidP="00BB1376">
            <w:pPr>
              <w:pStyle w:val="a3"/>
              <w:jc w:val="both"/>
              <w:rPr>
                <w:color w:val="626262"/>
                <w:sz w:val="20"/>
                <w:szCs w:val="20"/>
              </w:rPr>
            </w:pPr>
            <w:r>
              <w:rPr>
                <w:color w:val="626262"/>
                <w:sz w:val="20"/>
                <w:szCs w:val="20"/>
              </w:rPr>
              <w:t>(ii)           у принимающей стороны должна быть возможность продать переданный актив без необходимости добавлять ограничивающие условия к передаче (например, условия, касающиеся того, как обслуживается заемный актив или опцион, дающий принимающей стороне право обратной покупки актива).</w:t>
            </w:r>
          </w:p>
          <w:p w:rsidR="00BB1376" w:rsidRDefault="00BB1376" w:rsidP="00BB1376">
            <w:pPr>
              <w:pStyle w:val="a3"/>
              <w:jc w:val="both"/>
              <w:rPr>
                <w:color w:val="626262"/>
                <w:sz w:val="20"/>
                <w:szCs w:val="20"/>
              </w:rPr>
            </w:pPr>
            <w:r>
              <w:rPr>
                <w:color w:val="626262"/>
                <w:sz w:val="20"/>
                <w:szCs w:val="20"/>
              </w:rPr>
              <w:t>AG44     То, что принимающая сторона вряд ли продаст переданный актив, само по себе не означает, что передающая сторона сохранила контроль над переданным активом. Однако если опцион на продажу или гарантия не позволяет принимающей стороне продать переданный актив, то это значит, что передающая сторона сохранила контроль над переданным активом. Например, если опцион на продажу или гарантия являются достаточно ценными, то они не позволяют принимающей стороне продать переданный актив, потому что на практике принимающая сторона не продаст переданный актив третьей стороне, не заключив при этом аналогичный опцион или другие ограничивающие условия. Вместо этого принимающая сторона будет удерживать переданный актив, для того чтобы получать выплаты по гарантии или опциону на продажу. В этих обстоятельствах передающая сторона сохраняет контроль над переданным активом.</w:t>
            </w:r>
          </w:p>
          <w:p w:rsidR="00BB1376" w:rsidRDefault="00BB1376" w:rsidP="00BB1376">
            <w:pPr>
              <w:pStyle w:val="a3"/>
              <w:jc w:val="both"/>
              <w:rPr>
                <w:color w:val="626262"/>
                <w:sz w:val="20"/>
                <w:szCs w:val="20"/>
              </w:rPr>
            </w:pPr>
            <w:r>
              <w:rPr>
                <w:color w:val="626262"/>
                <w:sz w:val="20"/>
                <w:szCs w:val="20"/>
              </w:rPr>
              <w:t>Передачи, удовлетворяющие критериям прекращения признания</w:t>
            </w:r>
          </w:p>
          <w:p w:rsidR="00BB1376" w:rsidRDefault="00BB1376" w:rsidP="00BB1376">
            <w:pPr>
              <w:pStyle w:val="a3"/>
              <w:jc w:val="both"/>
              <w:rPr>
                <w:color w:val="626262"/>
                <w:sz w:val="20"/>
                <w:szCs w:val="20"/>
              </w:rPr>
            </w:pPr>
            <w:r>
              <w:rPr>
                <w:color w:val="626262"/>
                <w:sz w:val="20"/>
                <w:szCs w:val="20"/>
              </w:rPr>
              <w:t>AG45     Предприятие может сохранить за собой право на часть процентных выплат по переданным активам в качестве компенсации за обслуживание этих активов. Часть процентных выплат, от которой предприятие готово отказаться по истечении срока договора на обслуживание или при его передаче, относится на актив по обслуживанию или на обязательство по обслуживанию. Та часть процентных выплат, от которых предприятие не готово отказаться, является процентным стрипом к получению. Например, если предприятие не готово отказаться ни от каких процентов при окончании или передаче договора на обслуживание, то весь процентный спрэд является дебиторской задолженностью по процентному стрипу. В целях применения параграфа 27 справедливая стоимость актива по обслуживанию и дебиторской задолженности по процентному стрипу используется для распределения балансовой стоимости дебиторской задолженности между частью актива, признание которой прекращается, и частью, которая по-прежнему признается. Если не указан размер вознаграждения за обслуживание, или предполагается, что подлежащее получению вознаграждение не будет служить достаточной компенсацией предприятию за обслуживание, то признается обязательство по обслуживанию по справедливой стоимости.</w:t>
            </w:r>
          </w:p>
          <w:p w:rsidR="00BB1376" w:rsidRDefault="00BB1376" w:rsidP="00BB1376">
            <w:pPr>
              <w:pStyle w:val="a3"/>
              <w:jc w:val="both"/>
              <w:rPr>
                <w:color w:val="626262"/>
                <w:sz w:val="20"/>
                <w:szCs w:val="20"/>
              </w:rPr>
            </w:pPr>
            <w:r>
              <w:rPr>
                <w:color w:val="626262"/>
                <w:sz w:val="20"/>
                <w:szCs w:val="20"/>
              </w:rPr>
              <w:t>AG46     При оценке справедливой стоимости той части, которую предприятие продолжает признавать, и той части, признание которой прекращается в целях применения параграфа 27, в дополнение к параграфу 28 предприятие применяет требования измерения справедливой стоимости, изложенные в параграфах 48, 49 и AG69-AG82.</w:t>
            </w:r>
          </w:p>
          <w:p w:rsidR="00BB1376" w:rsidRDefault="00BB1376" w:rsidP="00BB1376">
            <w:pPr>
              <w:pStyle w:val="a3"/>
              <w:jc w:val="both"/>
              <w:rPr>
                <w:color w:val="626262"/>
                <w:sz w:val="20"/>
                <w:szCs w:val="20"/>
              </w:rPr>
            </w:pPr>
            <w:r>
              <w:rPr>
                <w:color w:val="626262"/>
                <w:sz w:val="20"/>
                <w:szCs w:val="20"/>
              </w:rPr>
              <w:t>Передачи, не удовлетворяющие критериям прекращения признания</w:t>
            </w:r>
          </w:p>
          <w:p w:rsidR="00BB1376" w:rsidRDefault="00BB1376" w:rsidP="00BB1376">
            <w:pPr>
              <w:pStyle w:val="a3"/>
              <w:jc w:val="both"/>
              <w:rPr>
                <w:color w:val="626262"/>
                <w:sz w:val="20"/>
                <w:szCs w:val="20"/>
              </w:rPr>
            </w:pPr>
            <w:r>
              <w:rPr>
                <w:color w:val="626262"/>
                <w:sz w:val="20"/>
                <w:szCs w:val="20"/>
              </w:rPr>
              <w:t xml:space="preserve">AG47     Далее следует пример применения принципа, изложенного в параграфе 29. Если предоставленная предприятием гарантия по убыткам от невыполнения обязательств по переданному активу не позволяет </w:t>
            </w:r>
            <w:r>
              <w:rPr>
                <w:color w:val="626262"/>
                <w:sz w:val="20"/>
                <w:szCs w:val="20"/>
              </w:rPr>
              <w:lastRenderedPageBreak/>
              <w:t>прекратить признание переданного актива по той причине, что предприятие сохранило практически все риски и вознаграждения, связанные с владением переданным активом, то предприятие продолжает признавать переданный актив целиком, а полученное возмещение признает как обязательство.</w:t>
            </w:r>
          </w:p>
          <w:p w:rsidR="00BB1376" w:rsidRDefault="00BB1376" w:rsidP="00BB1376">
            <w:pPr>
              <w:pStyle w:val="a3"/>
              <w:jc w:val="both"/>
              <w:rPr>
                <w:color w:val="626262"/>
                <w:sz w:val="20"/>
                <w:szCs w:val="20"/>
              </w:rPr>
            </w:pPr>
            <w:r>
              <w:rPr>
                <w:color w:val="626262"/>
                <w:sz w:val="20"/>
                <w:szCs w:val="20"/>
              </w:rPr>
              <w:t>Продолжающееся участие в переданных активах</w:t>
            </w:r>
          </w:p>
          <w:p w:rsidR="00BB1376" w:rsidRDefault="00BB1376" w:rsidP="00BB1376">
            <w:pPr>
              <w:pStyle w:val="a3"/>
              <w:jc w:val="both"/>
              <w:rPr>
                <w:color w:val="626262"/>
                <w:sz w:val="20"/>
                <w:szCs w:val="20"/>
              </w:rPr>
            </w:pPr>
            <w:r>
              <w:rPr>
                <w:color w:val="626262"/>
                <w:sz w:val="20"/>
                <w:szCs w:val="20"/>
              </w:rPr>
              <w:t>AG48     Ниже приводятся примеры того, как предприятие измеряет переданный актив и связанное с ним обязательство в соответствии с параграфом 30.</w:t>
            </w:r>
          </w:p>
          <w:tbl>
            <w:tblPr>
              <w:tblW w:w="0" w:type="auto"/>
              <w:tblCellSpacing w:w="0" w:type="dxa"/>
              <w:tblCellMar>
                <w:left w:w="0" w:type="dxa"/>
                <w:right w:w="0" w:type="dxa"/>
              </w:tblCellMar>
              <w:tblLook w:val="04A0"/>
            </w:tblPr>
            <w:tblGrid>
              <w:gridCol w:w="8535"/>
            </w:tblGrid>
            <w:tr w:rsidR="00BB1376" w:rsidTr="00BB1376">
              <w:trPr>
                <w:tblCellSpacing w:w="0" w:type="dxa"/>
              </w:trPr>
              <w:tc>
                <w:tcPr>
                  <w:tcW w:w="8535" w:type="dxa"/>
                  <w:hideMark/>
                </w:tcPr>
                <w:p w:rsidR="00BB1376" w:rsidRDefault="00BB1376">
                  <w:pPr>
                    <w:pStyle w:val="a3"/>
                    <w:rPr>
                      <w:color w:val="626262"/>
                      <w:sz w:val="20"/>
                      <w:szCs w:val="20"/>
                    </w:rPr>
                  </w:pPr>
                  <w:r>
                    <w:rPr>
                      <w:rStyle w:val="a5"/>
                      <w:color w:val="626262"/>
                      <w:sz w:val="20"/>
                      <w:szCs w:val="20"/>
                    </w:rPr>
                    <w:t>Все активы</w:t>
                  </w:r>
                </w:p>
              </w:tc>
            </w:tr>
          </w:tbl>
          <w:p w:rsidR="00BB1376" w:rsidRDefault="00BB1376" w:rsidP="00BB1376">
            <w:pPr>
              <w:pStyle w:val="a3"/>
              <w:jc w:val="both"/>
              <w:rPr>
                <w:color w:val="626262"/>
                <w:sz w:val="20"/>
                <w:szCs w:val="20"/>
              </w:rPr>
            </w:pPr>
            <w:r>
              <w:rPr>
                <w:color w:val="626262"/>
                <w:sz w:val="20"/>
                <w:szCs w:val="20"/>
              </w:rPr>
              <w:t>(а)           Если предоставленная предприятием гарантия выплаты убытка от невыполнения обязательств по переданному активу не позволяет прекратить признание переданного актива в той степени, в какой продолжается участие предприятия в этом активе, то переданный актив на дату передачи измеряется по наименьшей величине из (i) балансовой стоимости актива и (ii) максимальной суммы возмещения, полученного при передаче, которую предприятие может быть обязано вернуть («сумма гарантии»). Связанное обязательство первоначально измеряется суммой, равной сумме гарантии плюс справедливая стоимость гарантии (которая обычно равна сумме возмещения, полученного за гарантию). Впоследствии первоначальная справедливая стоимость гарантии признается в составе прибыли или убытка на пропорциональной временной основе (см. МСФО (IAS) 18), а балансовая стоимость актива уменьшается на сумму убытков от обесценения.</w:t>
            </w:r>
          </w:p>
          <w:tbl>
            <w:tblPr>
              <w:tblW w:w="0" w:type="auto"/>
              <w:tblCellSpacing w:w="0" w:type="dxa"/>
              <w:tblCellMar>
                <w:left w:w="0" w:type="dxa"/>
                <w:right w:w="0" w:type="dxa"/>
              </w:tblCellMar>
              <w:tblLook w:val="04A0"/>
            </w:tblPr>
            <w:tblGrid>
              <w:gridCol w:w="8535"/>
            </w:tblGrid>
            <w:tr w:rsidR="00BB1376" w:rsidTr="00BB1376">
              <w:trPr>
                <w:tblCellSpacing w:w="0" w:type="dxa"/>
              </w:trPr>
              <w:tc>
                <w:tcPr>
                  <w:tcW w:w="8535" w:type="dxa"/>
                  <w:hideMark/>
                </w:tcPr>
                <w:p w:rsidR="00BB1376" w:rsidRDefault="00BB1376">
                  <w:pPr>
                    <w:pStyle w:val="a3"/>
                    <w:rPr>
                      <w:color w:val="626262"/>
                      <w:sz w:val="20"/>
                      <w:szCs w:val="20"/>
                    </w:rPr>
                  </w:pPr>
                  <w:r>
                    <w:rPr>
                      <w:rStyle w:val="a5"/>
                      <w:color w:val="626262"/>
                      <w:sz w:val="20"/>
                      <w:szCs w:val="20"/>
                    </w:rPr>
                    <w:t>Активы, измеряемые по амортизированной стоимости</w:t>
                  </w:r>
                </w:p>
              </w:tc>
            </w:tr>
          </w:tbl>
          <w:p w:rsidR="00BB1376" w:rsidRDefault="00BB1376" w:rsidP="00BB1376">
            <w:pPr>
              <w:pStyle w:val="a3"/>
              <w:jc w:val="both"/>
              <w:rPr>
                <w:color w:val="626262"/>
                <w:sz w:val="20"/>
                <w:szCs w:val="20"/>
              </w:rPr>
            </w:pPr>
            <w:r>
              <w:rPr>
                <w:color w:val="626262"/>
                <w:sz w:val="20"/>
                <w:szCs w:val="20"/>
              </w:rPr>
              <w:t>(b)           Если выпущенное предприятием обязательство по опциону на продажу или имеющееся у него право по опциону на покупку не позволяет прекратить признание переданного актива и предприятие измеряет переданный актив по амортизированной стоимости, то связанное обязательство измеряется по его стоимости (т.е. полученному возмещению), скорректированной с учетом амортизации разницы между этой стоимостью и амортизированной стоимостью переданного актива на дату окончания действия опциона. Например, предположим, что амортизированная стоимость и балансовая стоимость актива на дату передачи равна 98 д.е., а полученное возмещение равно 95 д.е. Амортизированная стоимость актива на дату исполнения опциона будет равна 100 д.е. Первоначальная балансовая стоимость связанного обязательства равна 95 д.е., а разница между 95 д.е. и 100 д.е. признается в составе прибыли или убытка с использованием метода эффективной ставки процента. Если опцион исполняется, разница между балансовой стоимостью связанного обязательства и ценой исполнения признается в составе прибыли или убытка.</w:t>
            </w:r>
          </w:p>
          <w:p w:rsidR="00BB1376" w:rsidRDefault="00BB1376" w:rsidP="00BB1376">
            <w:pPr>
              <w:pStyle w:val="a3"/>
              <w:jc w:val="both"/>
              <w:rPr>
                <w:color w:val="626262"/>
                <w:sz w:val="20"/>
                <w:szCs w:val="20"/>
              </w:rPr>
            </w:pPr>
            <w:r>
              <w:rPr>
                <w:color w:val="626262"/>
                <w:sz w:val="20"/>
                <w:szCs w:val="20"/>
              </w:rPr>
              <w:t> </w:t>
            </w:r>
          </w:p>
          <w:p w:rsidR="00BB1376" w:rsidRDefault="00BB1376" w:rsidP="00BB1376">
            <w:pPr>
              <w:pStyle w:val="a3"/>
              <w:jc w:val="both"/>
              <w:rPr>
                <w:color w:val="626262"/>
                <w:sz w:val="20"/>
                <w:szCs w:val="20"/>
              </w:rPr>
            </w:pPr>
            <w:r>
              <w:rPr>
                <w:color w:val="626262"/>
                <w:sz w:val="20"/>
                <w:szCs w:val="20"/>
              </w:rPr>
              <w:t> </w:t>
            </w:r>
          </w:p>
          <w:tbl>
            <w:tblPr>
              <w:tblW w:w="0" w:type="auto"/>
              <w:tblCellSpacing w:w="0" w:type="dxa"/>
              <w:tblCellMar>
                <w:left w:w="0" w:type="dxa"/>
                <w:right w:w="0" w:type="dxa"/>
              </w:tblCellMar>
              <w:tblLook w:val="04A0"/>
            </w:tblPr>
            <w:tblGrid>
              <w:gridCol w:w="8550"/>
            </w:tblGrid>
            <w:tr w:rsidR="00BB1376" w:rsidTr="00BB1376">
              <w:trPr>
                <w:tblCellSpacing w:w="0" w:type="dxa"/>
              </w:trPr>
              <w:tc>
                <w:tcPr>
                  <w:tcW w:w="8550" w:type="dxa"/>
                  <w:hideMark/>
                </w:tcPr>
                <w:p w:rsidR="00BB1376" w:rsidRDefault="00BB1376">
                  <w:pPr>
                    <w:pStyle w:val="a3"/>
                    <w:rPr>
                      <w:color w:val="626262"/>
                      <w:sz w:val="20"/>
                      <w:szCs w:val="20"/>
                    </w:rPr>
                  </w:pPr>
                  <w:r>
                    <w:rPr>
                      <w:rStyle w:val="a5"/>
                      <w:color w:val="626262"/>
                      <w:sz w:val="20"/>
                      <w:szCs w:val="20"/>
                    </w:rPr>
                    <w:t>Активы, измеряемые по справедливой стоимости</w:t>
                  </w:r>
                </w:p>
              </w:tc>
            </w:tr>
          </w:tbl>
          <w:p w:rsidR="00BB1376" w:rsidRDefault="00BB1376" w:rsidP="00BB1376">
            <w:pPr>
              <w:pStyle w:val="a3"/>
              <w:jc w:val="both"/>
              <w:rPr>
                <w:color w:val="626262"/>
                <w:sz w:val="20"/>
                <w:szCs w:val="20"/>
              </w:rPr>
            </w:pPr>
            <w:r>
              <w:rPr>
                <w:color w:val="626262"/>
                <w:sz w:val="20"/>
                <w:szCs w:val="20"/>
              </w:rPr>
              <w:t>(c)           Если сохраняемое предприятием право по опциону на покупку не позволяет прекратить признание переданного актива и предприятие измеряет переданный актив по справедливой стоимости, то оно продолжает измерять его по справедливой стоимости. Связанное обязательство измеряется (i) по цене исполнения опциона за вычетом временной стоимости опциона, если опцион имеет выгодную цену исполнения или нулевую внутреннюю стоимость, или (ii) по справедливой стоимости переданного актива за вычетом временной стоимости опциона, если опцион имеет невыгодную цену исполнения. Корректировка измерения связанного обязательства приводит к тому, что чистая балансовая стоимость актива и связанного обязательства равна справедливой стоимости права по опциону на покупку. Например, если справедливая стоимость базового актива равна 80 д.е., цена исполнения опциона равна 95 д.е. и временная стоимость опциона равна 5 д.е., то балансовая стоимость связанного обязательства будет равна 75 д.е. (80 д.е. - 5 д.е.), а балансовая стоимость переданного актива - 80 д.е. (т.е. его справедливая стоимость).</w:t>
            </w:r>
          </w:p>
          <w:p w:rsidR="00BB1376" w:rsidRDefault="00BB1376" w:rsidP="00BB1376">
            <w:pPr>
              <w:pStyle w:val="a3"/>
              <w:jc w:val="both"/>
              <w:rPr>
                <w:color w:val="626262"/>
                <w:sz w:val="20"/>
                <w:szCs w:val="20"/>
              </w:rPr>
            </w:pPr>
            <w:r>
              <w:rPr>
                <w:color w:val="626262"/>
                <w:sz w:val="20"/>
                <w:szCs w:val="20"/>
              </w:rPr>
              <w:t xml:space="preserve">(d)           Если выпущенный предприятием опцион на продажу не позволяет прекратить признание переданного актива и предприятие измеряет переданный актив по справедливой стоимости, то связанное обязательство измеряется по цене исполнения опциона плюс временная стоимость опциона. Измерение актива по справедливой стоимости ограничивается наименьшим значением из справедливой стоимости и цены исполнения опциона, так как предприятие не имеет права на суммы превышения справедливой стоимости переданного актива над ценой исполнения опциона. Это приводит к тому, что чистая балансовая </w:t>
            </w:r>
            <w:r>
              <w:rPr>
                <w:color w:val="626262"/>
                <w:sz w:val="20"/>
                <w:szCs w:val="20"/>
              </w:rPr>
              <w:lastRenderedPageBreak/>
              <w:t>стоимость актива и связанного обязательства равна справедливой стоимости обязательства по опциону на продажу. Например, если справедливая стоимость базисного актива равна 120 д.е., цена исполнения опциона равна 100 д.е. и временная стоимость опциона равна 5 д.е., то балансовая стоимость связанного обязательства будет равна 105 д.е. (100 д.е. + 5 д.е.), а балансовая стоимость актива - 100 д.е. (в данном случае это цена исполнения опциона).</w:t>
            </w:r>
          </w:p>
          <w:p w:rsidR="00BB1376" w:rsidRDefault="00BB1376" w:rsidP="00BB1376">
            <w:pPr>
              <w:pStyle w:val="a3"/>
              <w:jc w:val="both"/>
              <w:rPr>
                <w:color w:val="626262"/>
                <w:sz w:val="20"/>
                <w:szCs w:val="20"/>
              </w:rPr>
            </w:pPr>
            <w:r>
              <w:rPr>
                <w:color w:val="626262"/>
                <w:sz w:val="20"/>
                <w:szCs w:val="20"/>
              </w:rPr>
              <w:t>(e)           Если «колар» в виде приобретенного опциона на покупку и выпущенного опциона на продажу, не позволяет прекратить признание переданного актива и предприятие измеряет актив по справедливой стоимости, то оно продолжает измерять этот актив по справедливой стоимости. Связанное обязательство измеряется (i) по суммированному значению цены исполнения опциона на покупку и справедливой стоимости опциона на продажу за вычетом временной стоимости опциона на покупку, если опцион на покупку имеет выгодную цену исполнения или нулевую внутреннюю стоимость, или (ii) по суммированному значению справедливой стоимости актива и справедливой стоимости опциона на продажу за вычетом временной стоимости опциона на покупку, если опцион на покупку имеет невыгодную цену исполнения. Корректировка связанного обязательства приводит к тому, что чистая балансовая стоимость актива и связанного обязательства равна справедливой стоимости опционов, удерживаемых и выпущенных предприятием. Например, предположим, что предприятие передает финансовый актив, который измеряется по справедливой стоимости, и одновременно приобретает опцион на покупку с ценой исполнения 120 д.е. и выпускает опцион на продажу с ценой исполнения 80 д.е. Также предположим, что справедливая стоимость актива на дату передачи равна 100 д.е. Временная стоимость опциона на продажу и опциона на покупку равна 1 д.е. и 5 д.е. соответственно. В данном случае предприятие признает актив в размере 100 д.е. (справедливая стоимость актива) и обязательство в размере 96 д.е. [(100 д.е. + 1 д.е.) - 5 д.е.]. При этом чистая стоимость актива равна 4 д.е., что является справедливой стоимостью опционов, удерживаемых и выпущенных предприятием.</w:t>
            </w:r>
          </w:p>
          <w:p w:rsidR="00BB1376" w:rsidRDefault="00BB1376" w:rsidP="00BB1376">
            <w:pPr>
              <w:pStyle w:val="a3"/>
              <w:jc w:val="both"/>
              <w:rPr>
                <w:color w:val="626262"/>
                <w:sz w:val="20"/>
                <w:szCs w:val="20"/>
              </w:rPr>
            </w:pPr>
            <w:r>
              <w:rPr>
                <w:color w:val="626262"/>
                <w:sz w:val="20"/>
                <w:szCs w:val="20"/>
              </w:rPr>
              <w:t> </w:t>
            </w:r>
          </w:p>
          <w:p w:rsidR="00BB1376" w:rsidRDefault="00BB1376" w:rsidP="00BB1376">
            <w:pPr>
              <w:pStyle w:val="a3"/>
              <w:jc w:val="both"/>
              <w:rPr>
                <w:color w:val="626262"/>
                <w:sz w:val="20"/>
                <w:szCs w:val="20"/>
              </w:rPr>
            </w:pPr>
            <w:r>
              <w:rPr>
                <w:rStyle w:val="a4"/>
                <w:color w:val="626262"/>
                <w:sz w:val="20"/>
                <w:szCs w:val="20"/>
              </w:rPr>
              <w:t>Все передачи</w:t>
            </w:r>
          </w:p>
          <w:p w:rsidR="00BB1376" w:rsidRDefault="00BB1376" w:rsidP="00BB1376">
            <w:pPr>
              <w:pStyle w:val="a3"/>
              <w:jc w:val="both"/>
              <w:rPr>
                <w:color w:val="626262"/>
                <w:sz w:val="20"/>
                <w:szCs w:val="20"/>
              </w:rPr>
            </w:pPr>
            <w:r>
              <w:rPr>
                <w:color w:val="626262"/>
                <w:sz w:val="20"/>
                <w:szCs w:val="20"/>
              </w:rPr>
              <w:t>AG49     В той степени, в какой передача финансового актива не удовлетворяет критериям прекращения признания, договорные права или обязательства передающей стороны, связанные с передачей, не учитываются отдельно в качестве производных инструментов, если признание производного инструмента и переданного актива или обязательства, возникшего в результате передачи, привело бы к повторному признанию тех же прав или обязательств. Например, опцион на покупку, сохраняемый передающей стороной, может не позволить учесть передачу финансового актива в качестве продажи. В таком случае опцион на покупку не признается отдельно в качестве актива, являющегося производным инструментом.</w:t>
            </w:r>
          </w:p>
          <w:p w:rsidR="00BB1376" w:rsidRDefault="00BB1376" w:rsidP="00BB1376">
            <w:pPr>
              <w:pStyle w:val="a3"/>
              <w:jc w:val="both"/>
              <w:rPr>
                <w:color w:val="626262"/>
                <w:sz w:val="20"/>
                <w:szCs w:val="20"/>
              </w:rPr>
            </w:pPr>
            <w:r>
              <w:rPr>
                <w:color w:val="626262"/>
                <w:sz w:val="20"/>
                <w:szCs w:val="20"/>
              </w:rPr>
              <w:t>AG50     В той степени, в какой передача финансового актива не удовлетворяет критериям прекращения признания, принимающая сторона не признает переданный актив как принадлежащий ей. Принимающая сторона прекращает признание денежного или другого выплаченного возмещения и признает дебиторскую задолженность от передающей стороны. Если передающая сторона имеет как право, так и обязательство вновь приобрести контроль над всем переданным активом за фиксированную сумму (например, в соответствии с договором на обратную покупку), то принимающая сторона может учитывать свою дебиторскую задолженность как заем или дебиторскую задолженность.</w:t>
            </w:r>
          </w:p>
          <w:p w:rsidR="00BB1376" w:rsidRDefault="00BB1376" w:rsidP="00BB1376">
            <w:pPr>
              <w:pStyle w:val="a3"/>
              <w:jc w:val="both"/>
              <w:rPr>
                <w:color w:val="626262"/>
                <w:sz w:val="20"/>
                <w:szCs w:val="20"/>
              </w:rPr>
            </w:pPr>
            <w:r>
              <w:rPr>
                <w:color w:val="626262"/>
                <w:sz w:val="20"/>
                <w:szCs w:val="20"/>
              </w:rPr>
              <w:t> </w:t>
            </w:r>
          </w:p>
          <w:p w:rsidR="00BB1376" w:rsidRDefault="00BB1376" w:rsidP="00BB1376">
            <w:pPr>
              <w:pStyle w:val="a3"/>
              <w:jc w:val="both"/>
              <w:rPr>
                <w:color w:val="626262"/>
                <w:sz w:val="20"/>
                <w:szCs w:val="20"/>
              </w:rPr>
            </w:pPr>
            <w:r>
              <w:rPr>
                <w:rStyle w:val="a4"/>
                <w:color w:val="626262"/>
                <w:sz w:val="20"/>
                <w:szCs w:val="20"/>
              </w:rPr>
              <w:t>Примеры</w:t>
            </w:r>
          </w:p>
          <w:p w:rsidR="00BB1376" w:rsidRDefault="00BB1376" w:rsidP="00BB1376">
            <w:pPr>
              <w:pStyle w:val="a3"/>
              <w:jc w:val="both"/>
              <w:rPr>
                <w:color w:val="626262"/>
                <w:sz w:val="20"/>
                <w:szCs w:val="20"/>
              </w:rPr>
            </w:pPr>
            <w:r>
              <w:rPr>
                <w:color w:val="626262"/>
                <w:sz w:val="20"/>
                <w:szCs w:val="20"/>
              </w:rPr>
              <w:t>AG51     Представленные ниже примеры иллюстрируют применение принципов прекращения признания, изложенных в настоящем стандарте.</w:t>
            </w:r>
          </w:p>
          <w:p w:rsidR="00BB1376" w:rsidRDefault="00BB1376" w:rsidP="00BB1376">
            <w:pPr>
              <w:pStyle w:val="a3"/>
              <w:jc w:val="both"/>
              <w:rPr>
                <w:color w:val="626262"/>
                <w:sz w:val="20"/>
                <w:szCs w:val="20"/>
              </w:rPr>
            </w:pPr>
            <w:r>
              <w:rPr>
                <w:color w:val="626262"/>
                <w:sz w:val="20"/>
                <w:szCs w:val="20"/>
              </w:rPr>
              <w:t>(а)           Если финансовый актив продается согласно договору, предусматривающему его обратную покупку по фиксированной цене или по продажной цене плюс доход кредитора, или если он передан взаймы в соответствии с договором, предусматривающим его возвращение передающей стороне, то его признание не прекращается, так как передающая сторона сохраняет практически все риски и вознаграждения, связанные с владением активом. Если принимающая сторона получает право продать или заложить актив, то передающая сторона переклассифицирует этот актив в своем балансе, например, как актив, предоставленный взаймы, или как дебиторскую задолженность по обратной покупке.</w:t>
            </w:r>
          </w:p>
          <w:p w:rsidR="00BB1376" w:rsidRDefault="00BB1376" w:rsidP="00BB1376">
            <w:pPr>
              <w:pStyle w:val="a3"/>
              <w:jc w:val="both"/>
              <w:rPr>
                <w:color w:val="626262"/>
                <w:sz w:val="20"/>
                <w:szCs w:val="20"/>
              </w:rPr>
            </w:pPr>
            <w:r>
              <w:rPr>
                <w:color w:val="626262"/>
                <w:sz w:val="20"/>
                <w:szCs w:val="20"/>
              </w:rPr>
              <w:t>(b)          </w:t>
            </w:r>
            <w:r>
              <w:rPr>
                <w:rStyle w:val="apple-converted-space"/>
                <w:color w:val="626262"/>
                <w:sz w:val="20"/>
                <w:szCs w:val="20"/>
              </w:rPr>
              <w:t> </w:t>
            </w:r>
            <w:r>
              <w:rPr>
                <w:rStyle w:val="a5"/>
                <w:color w:val="626262"/>
                <w:sz w:val="20"/>
                <w:szCs w:val="20"/>
              </w:rPr>
              <w:t>Договоры РЕПО и предоставление ценных бумаг взаймы - практически идентичные активы.</w:t>
            </w:r>
            <w:r>
              <w:rPr>
                <w:color w:val="626262"/>
                <w:sz w:val="20"/>
                <w:szCs w:val="20"/>
              </w:rPr>
              <w:t xml:space="preserve">Если </w:t>
            </w:r>
            <w:r>
              <w:rPr>
                <w:color w:val="626262"/>
                <w:sz w:val="20"/>
                <w:szCs w:val="20"/>
              </w:rPr>
              <w:lastRenderedPageBreak/>
              <w:t>финансовый актив продается согласно договору, предусматривающему обратную покупку того же или практически идентичного актива по фиксированной цене или по продажной цене плюс доход кредитора, или если финансовый актив получен взаймы либо предоставлен взаймы в соответствии с договором, предусматривающим возвращение того же самого или практически идентичного актива передающей стороне, то его признание не прекращается, так как передающая сторона сохраняет практически все риски и вознаграждения, связанные с владением активом.</w:t>
            </w:r>
          </w:p>
          <w:p w:rsidR="00BB1376" w:rsidRDefault="00BB1376" w:rsidP="00BB1376">
            <w:pPr>
              <w:pStyle w:val="a3"/>
              <w:jc w:val="both"/>
              <w:rPr>
                <w:color w:val="626262"/>
                <w:sz w:val="20"/>
                <w:szCs w:val="20"/>
              </w:rPr>
            </w:pPr>
            <w:r>
              <w:rPr>
                <w:color w:val="626262"/>
                <w:sz w:val="20"/>
                <w:szCs w:val="20"/>
              </w:rPr>
              <w:t>(c)          </w:t>
            </w:r>
            <w:r>
              <w:rPr>
                <w:rStyle w:val="apple-converted-space"/>
                <w:color w:val="626262"/>
                <w:sz w:val="20"/>
                <w:szCs w:val="20"/>
              </w:rPr>
              <w:t> </w:t>
            </w:r>
            <w:r>
              <w:rPr>
                <w:rStyle w:val="a5"/>
                <w:color w:val="626262"/>
                <w:sz w:val="20"/>
                <w:szCs w:val="20"/>
              </w:rPr>
              <w:t>Договоры РЕПО и предоставление ценных бумаг взаймы - право на замещение.</w:t>
            </w:r>
            <w:r>
              <w:rPr>
                <w:rStyle w:val="apple-converted-space"/>
                <w:color w:val="626262"/>
                <w:sz w:val="20"/>
                <w:szCs w:val="20"/>
              </w:rPr>
              <w:t> </w:t>
            </w:r>
            <w:r>
              <w:rPr>
                <w:color w:val="626262"/>
                <w:sz w:val="20"/>
                <w:szCs w:val="20"/>
              </w:rPr>
              <w:t>Если договор об обратной покупке по фиксированной цене или цене, равной продажной цене плюс доход кредитора, или аналогичная операция по предоставлению ценных бумаг взаймы дает принимающей стороне право замещать активы, которые аналогичны переданному активу и имеют такую же справедливую стоимость на дату обратной покупки, то признание актива, проданного или предоставленного взаймы в рамках операции обратной покупки или предоставления взаймы ценных бумаг, не прекращается, так как передающая сторона сохраняет практически все риски и вознаграждения, связанные с владением активом.</w:t>
            </w:r>
          </w:p>
          <w:p w:rsidR="00BB1376" w:rsidRDefault="00BB1376" w:rsidP="00BB1376">
            <w:pPr>
              <w:pStyle w:val="a3"/>
              <w:jc w:val="both"/>
              <w:rPr>
                <w:color w:val="626262"/>
                <w:sz w:val="20"/>
                <w:szCs w:val="20"/>
              </w:rPr>
            </w:pPr>
            <w:r>
              <w:rPr>
                <w:color w:val="626262"/>
                <w:sz w:val="20"/>
                <w:szCs w:val="20"/>
              </w:rPr>
              <w:t>(d)          </w:t>
            </w:r>
            <w:r>
              <w:rPr>
                <w:rStyle w:val="apple-converted-space"/>
                <w:color w:val="626262"/>
                <w:sz w:val="20"/>
                <w:szCs w:val="20"/>
              </w:rPr>
              <w:t> </w:t>
            </w:r>
            <w:r>
              <w:rPr>
                <w:rStyle w:val="a5"/>
                <w:color w:val="626262"/>
                <w:sz w:val="20"/>
                <w:szCs w:val="20"/>
              </w:rPr>
              <w:t>Преимущественное право обратной покупки по справедливой стоимости.</w:t>
            </w:r>
            <w:r>
              <w:rPr>
                <w:rStyle w:val="apple-converted-space"/>
                <w:color w:val="626262"/>
                <w:sz w:val="20"/>
                <w:szCs w:val="20"/>
              </w:rPr>
              <w:t> </w:t>
            </w:r>
            <w:r>
              <w:rPr>
                <w:color w:val="626262"/>
                <w:sz w:val="20"/>
                <w:szCs w:val="20"/>
              </w:rPr>
              <w:t>Если предприятие продает финансовый актив и сохраняет только право преимущественной обратной покупки переданного актива по справедливой стоимости в случае, если принимающая сторона впоследствии будет продавать его, то предприятие прекращает признание этого актива, поскольку оно передало практически все риски и вознаграждения, связанные с владением активом.</w:t>
            </w:r>
          </w:p>
          <w:p w:rsidR="00BB1376" w:rsidRDefault="00BB1376" w:rsidP="00BB1376">
            <w:pPr>
              <w:pStyle w:val="a3"/>
              <w:jc w:val="both"/>
              <w:rPr>
                <w:color w:val="626262"/>
                <w:sz w:val="20"/>
                <w:szCs w:val="20"/>
              </w:rPr>
            </w:pPr>
            <w:r>
              <w:rPr>
                <w:color w:val="626262"/>
                <w:sz w:val="20"/>
                <w:szCs w:val="20"/>
              </w:rPr>
              <w:t>(e)          </w:t>
            </w:r>
            <w:r>
              <w:rPr>
                <w:rStyle w:val="apple-converted-space"/>
                <w:color w:val="626262"/>
                <w:sz w:val="20"/>
                <w:szCs w:val="20"/>
              </w:rPr>
              <w:t> </w:t>
            </w:r>
            <w:r>
              <w:rPr>
                <w:rStyle w:val="a5"/>
                <w:color w:val="626262"/>
                <w:sz w:val="20"/>
                <w:szCs w:val="20"/>
              </w:rPr>
              <w:t>Операция фиктивной продажи.</w:t>
            </w:r>
            <w:r>
              <w:rPr>
                <w:rStyle w:val="apple-converted-space"/>
                <w:color w:val="626262"/>
                <w:sz w:val="20"/>
                <w:szCs w:val="20"/>
              </w:rPr>
              <w:t> </w:t>
            </w:r>
            <w:r>
              <w:rPr>
                <w:color w:val="626262"/>
                <w:sz w:val="20"/>
                <w:szCs w:val="20"/>
              </w:rPr>
              <w:t>Обратная покупка финансового актива вскоре после того, как он был продан, иногда называется фиктивной продажей. Такая обратная покупка не мешает прекращению признания при условии, что первоначальная операция удовлетворяла критериям прекращения признания. Однако если договор о продаже финансового актива заключается одновременно с договором об обратной покупке того же актива по фиксированной цене или по продажной цене плюс доход кредитора, то признание этого актива не прекращается.</w:t>
            </w:r>
          </w:p>
          <w:p w:rsidR="00BB1376" w:rsidRDefault="00BB1376" w:rsidP="00BB1376">
            <w:pPr>
              <w:pStyle w:val="a3"/>
              <w:jc w:val="both"/>
              <w:rPr>
                <w:color w:val="626262"/>
                <w:sz w:val="20"/>
                <w:szCs w:val="20"/>
              </w:rPr>
            </w:pPr>
            <w:r>
              <w:rPr>
                <w:color w:val="626262"/>
                <w:sz w:val="20"/>
                <w:szCs w:val="20"/>
              </w:rPr>
              <w:t>(f)           </w:t>
            </w:r>
            <w:r>
              <w:rPr>
                <w:rStyle w:val="apple-converted-space"/>
                <w:color w:val="626262"/>
                <w:sz w:val="20"/>
                <w:szCs w:val="20"/>
              </w:rPr>
              <w:t> </w:t>
            </w:r>
            <w:r>
              <w:rPr>
                <w:rStyle w:val="a5"/>
                <w:color w:val="626262"/>
                <w:sz w:val="20"/>
                <w:szCs w:val="20"/>
              </w:rPr>
              <w:t>Опционы на продажу и опционы на покупку с очень выгодной ценой исполнения.</w:t>
            </w:r>
            <w:r>
              <w:rPr>
                <w:rStyle w:val="apple-converted-space"/>
                <w:color w:val="626262"/>
                <w:sz w:val="20"/>
                <w:szCs w:val="20"/>
              </w:rPr>
              <w:t> </w:t>
            </w:r>
            <w:r>
              <w:rPr>
                <w:color w:val="626262"/>
                <w:sz w:val="20"/>
                <w:szCs w:val="20"/>
              </w:rPr>
              <w:t>Если переданный финансовый актив может быть отозван передающей стороной и опцион на покупку имеет очень выгодную цену исполнения, то передача не удовлетворяет критериям прекращения признания, так как передающая сторона сохранила практически все риски и вознаграждения, связанные с владением активом. Аналогичным образом, если финансовый актив может быть возвращен принимающей стороной и опцион на продажу имеет очень выгодную цену исполнения, то передача не удовлетворяет критериям прекращения признания, так как передающая сторона сохранила практически все риски и вознаграждения, связанные с владением активом.</w:t>
            </w:r>
          </w:p>
          <w:p w:rsidR="00BB1376" w:rsidRDefault="00BB1376" w:rsidP="00BB1376">
            <w:pPr>
              <w:pStyle w:val="a3"/>
              <w:jc w:val="both"/>
              <w:rPr>
                <w:color w:val="626262"/>
                <w:sz w:val="20"/>
                <w:szCs w:val="20"/>
              </w:rPr>
            </w:pPr>
            <w:r>
              <w:rPr>
                <w:color w:val="626262"/>
                <w:sz w:val="20"/>
                <w:szCs w:val="20"/>
              </w:rPr>
              <w:t>(g)          </w:t>
            </w:r>
            <w:r>
              <w:rPr>
                <w:rStyle w:val="apple-converted-space"/>
                <w:color w:val="626262"/>
                <w:sz w:val="20"/>
                <w:szCs w:val="20"/>
              </w:rPr>
              <w:t> </w:t>
            </w:r>
            <w:r>
              <w:rPr>
                <w:rStyle w:val="a5"/>
                <w:color w:val="626262"/>
                <w:sz w:val="20"/>
                <w:szCs w:val="20"/>
              </w:rPr>
              <w:t>Опционы на продажу и опционы на покупку с очень невыгодной ценой исполнения.</w:t>
            </w:r>
            <w:r>
              <w:rPr>
                <w:rStyle w:val="apple-converted-space"/>
                <w:color w:val="626262"/>
                <w:sz w:val="20"/>
                <w:szCs w:val="20"/>
              </w:rPr>
              <w:t> </w:t>
            </w:r>
            <w:r>
              <w:rPr>
                <w:color w:val="626262"/>
                <w:sz w:val="20"/>
                <w:szCs w:val="20"/>
              </w:rPr>
              <w:t>Признание финансового актива, который передается с условием заключения только опциона на продажу, удерживаемого принимающей стороной, или опциона на покупку, удерживаемого передающей стороной, которые имеют очень невыгодную цену исполнения, прекращается. Это происходит, потому что передающая сторона передала практически все риски и вознаграждения, связанные с владением активом.</w:t>
            </w:r>
          </w:p>
          <w:p w:rsidR="00BB1376" w:rsidRDefault="00BB1376" w:rsidP="00BB1376">
            <w:pPr>
              <w:pStyle w:val="a3"/>
              <w:jc w:val="both"/>
              <w:rPr>
                <w:color w:val="626262"/>
                <w:sz w:val="20"/>
                <w:szCs w:val="20"/>
              </w:rPr>
            </w:pPr>
            <w:r>
              <w:rPr>
                <w:color w:val="626262"/>
                <w:sz w:val="20"/>
                <w:szCs w:val="20"/>
              </w:rPr>
              <w:t>(h)          </w:t>
            </w:r>
            <w:r>
              <w:rPr>
                <w:rStyle w:val="apple-converted-space"/>
                <w:color w:val="626262"/>
                <w:sz w:val="20"/>
                <w:szCs w:val="20"/>
              </w:rPr>
              <w:t> </w:t>
            </w:r>
            <w:r>
              <w:rPr>
                <w:rStyle w:val="a5"/>
                <w:color w:val="626262"/>
                <w:sz w:val="20"/>
                <w:szCs w:val="20"/>
              </w:rPr>
              <w:t>Свободно обращающиеся на рынке активы, при наличии опциона, цена исполнения которого не является очень выгодной или очень невыгодной</w:t>
            </w:r>
            <w:r>
              <w:rPr>
                <w:color w:val="626262"/>
                <w:sz w:val="20"/>
                <w:szCs w:val="20"/>
              </w:rPr>
              <w:t>. Если предприятие владеет опционом на покупку актива, который свободно обращается на рынке, и цена исполнения этого опциона не является очень выгодной или очень невыгодной, то признание этого актива прекращается. Это происходит, потому что предприятие (i) не сохранило и не передало практически все риски и вознаграждения, связанные с владением активом, и (ii) не сохранило контроль. Однако если актив не обращается свободно на рынке, прекращение признания не производится в пределах суммы актива, в отношении которого заключен опцион на покупку, так как предприятие сохранило контроль над активом.</w:t>
            </w:r>
          </w:p>
          <w:p w:rsidR="00BB1376" w:rsidRDefault="00BB1376" w:rsidP="00BB1376">
            <w:pPr>
              <w:pStyle w:val="a3"/>
              <w:jc w:val="both"/>
              <w:rPr>
                <w:color w:val="626262"/>
                <w:sz w:val="20"/>
                <w:szCs w:val="20"/>
              </w:rPr>
            </w:pPr>
            <w:r>
              <w:rPr>
                <w:color w:val="626262"/>
                <w:sz w:val="20"/>
                <w:szCs w:val="20"/>
              </w:rPr>
              <w:t>(i)           </w:t>
            </w:r>
            <w:r>
              <w:rPr>
                <w:rStyle w:val="apple-converted-space"/>
                <w:color w:val="626262"/>
                <w:sz w:val="20"/>
                <w:szCs w:val="20"/>
              </w:rPr>
              <w:t> </w:t>
            </w:r>
            <w:r>
              <w:rPr>
                <w:rStyle w:val="a5"/>
                <w:color w:val="626262"/>
                <w:sz w:val="20"/>
                <w:szCs w:val="20"/>
              </w:rPr>
              <w:t>Не обращающийся свободно на рынке актив, в отношении которого предприятием выпущен опцион, цена исполнения которого не является очень выгодной или очень невыгодной.</w:t>
            </w:r>
            <w:r>
              <w:rPr>
                <w:rStyle w:val="apple-converted-space"/>
                <w:color w:val="626262"/>
                <w:sz w:val="20"/>
                <w:szCs w:val="20"/>
              </w:rPr>
              <w:t> </w:t>
            </w:r>
            <w:r>
              <w:rPr>
                <w:color w:val="626262"/>
                <w:sz w:val="20"/>
                <w:szCs w:val="20"/>
              </w:rPr>
              <w:t xml:space="preserve">Если предприятие передает финансовый актив, который не является свободно обращающимся на рынке, и при этом выпускает опцион на продажу, цена исполнения которого не является очень невыгодной, то предприятие не сохраняет и не передает практически все риски и вознаграждения, связанные с владением активом по причине наличия выпущенного опциона на продажу. Предприятие сохраняет контроль над активом, если опцион на продажу является достаточно ценным, чтобы принимающая сторона воздержалась от продажи этого актива, при этом предприятие продолжает признавать актив в пределах продолжающегося участия передающей стороны (см. параграф AG44). Предприятие передает контроль над активом, если опцион на продажу не является </w:t>
            </w:r>
            <w:r>
              <w:rPr>
                <w:color w:val="626262"/>
                <w:sz w:val="20"/>
                <w:szCs w:val="20"/>
              </w:rPr>
              <w:lastRenderedPageBreak/>
              <w:t>достаточно ценным, чтобы принимающая сторона воздержалась от продажи этого актива, при этом предприятие прекращает признавать актив.</w:t>
            </w:r>
          </w:p>
          <w:p w:rsidR="00BB1376" w:rsidRDefault="00BB1376" w:rsidP="00BB1376">
            <w:pPr>
              <w:pStyle w:val="a3"/>
              <w:jc w:val="both"/>
              <w:rPr>
                <w:color w:val="626262"/>
                <w:sz w:val="20"/>
                <w:szCs w:val="20"/>
              </w:rPr>
            </w:pPr>
            <w:r>
              <w:rPr>
                <w:color w:val="626262"/>
                <w:sz w:val="20"/>
                <w:szCs w:val="20"/>
              </w:rPr>
              <w:t>(j)            Передача финансового актива при условии заключения только опциона на продажу или покупку или форвардного договора на обратную покупку, который имеет цену исполнения или обратного приобретения, равную справедливой стоимости финансового актива на момент обратного приобретения, приводит к прекращению признания, поскольку переданы практически все риски и вознаграждения, связанные с владением активом.</w:t>
            </w:r>
          </w:p>
          <w:p w:rsidR="00BB1376" w:rsidRDefault="00BB1376" w:rsidP="00BB1376">
            <w:pPr>
              <w:pStyle w:val="a3"/>
              <w:jc w:val="both"/>
              <w:rPr>
                <w:color w:val="626262"/>
                <w:sz w:val="20"/>
                <w:szCs w:val="20"/>
              </w:rPr>
            </w:pPr>
            <w:r>
              <w:rPr>
                <w:color w:val="626262"/>
                <w:sz w:val="20"/>
                <w:szCs w:val="20"/>
              </w:rPr>
              <w:t>(k)          </w:t>
            </w:r>
            <w:r>
              <w:rPr>
                <w:rStyle w:val="apple-converted-space"/>
                <w:color w:val="626262"/>
                <w:sz w:val="20"/>
                <w:szCs w:val="20"/>
              </w:rPr>
              <w:t> </w:t>
            </w:r>
            <w:r>
              <w:rPr>
                <w:rStyle w:val="a5"/>
                <w:color w:val="626262"/>
                <w:sz w:val="20"/>
                <w:szCs w:val="20"/>
              </w:rPr>
              <w:t>Опционы на покупку или продажу, расчеты по которым осуществляются денежными средствами.</w:t>
            </w:r>
            <w:r>
              <w:rPr>
                <w:rStyle w:val="apple-converted-space"/>
                <w:color w:val="626262"/>
                <w:sz w:val="20"/>
                <w:szCs w:val="20"/>
              </w:rPr>
              <w:t> </w:t>
            </w:r>
            <w:r>
              <w:rPr>
                <w:color w:val="626262"/>
                <w:sz w:val="20"/>
                <w:szCs w:val="20"/>
              </w:rPr>
              <w:t>Предприятие оценивает передачу финансового актива, в отношении которого заключен опцион на продажу или покупку или форвардный договор на обратную покупку, нетто-расчет по которому будет осуществлен денежными средствами, для того, чтобы определить, сохранило ли оно или передало практически все риски и вознаграждения, связанные с владением активом. Если предприятие не сохранило практически все риски и вознаграждения, связанные с владением переданным активом на переданный актив, то оно определяет, сохранило ли оно контроль над переданным активом. То, что расчет по опциону на покупку или продажу или форвардному договору на обратную покупку осуществляется на нетто-основе с помощью денежных средств, автоматически не означает, что предприятие передало контроль (см. параграфы AG44 и (g), (h) и (i) выше).</w:t>
            </w:r>
          </w:p>
          <w:p w:rsidR="00BB1376" w:rsidRDefault="00BB1376" w:rsidP="00BB1376">
            <w:pPr>
              <w:pStyle w:val="a3"/>
              <w:jc w:val="both"/>
              <w:rPr>
                <w:color w:val="626262"/>
                <w:sz w:val="20"/>
                <w:szCs w:val="20"/>
              </w:rPr>
            </w:pPr>
            <w:r>
              <w:rPr>
                <w:color w:val="626262"/>
                <w:sz w:val="20"/>
                <w:szCs w:val="20"/>
              </w:rPr>
              <w:t>(l)           </w:t>
            </w:r>
            <w:r>
              <w:rPr>
                <w:rStyle w:val="apple-converted-space"/>
                <w:color w:val="626262"/>
                <w:sz w:val="20"/>
                <w:szCs w:val="20"/>
              </w:rPr>
              <w:t> </w:t>
            </w:r>
            <w:r>
              <w:rPr>
                <w:rStyle w:val="a5"/>
                <w:color w:val="626262"/>
                <w:sz w:val="20"/>
                <w:szCs w:val="20"/>
              </w:rPr>
              <w:t>Условие об исключении счетов.</w:t>
            </w:r>
            <w:r>
              <w:rPr>
                <w:rStyle w:val="apple-converted-space"/>
                <w:color w:val="626262"/>
                <w:sz w:val="20"/>
                <w:szCs w:val="20"/>
              </w:rPr>
              <w:t> </w:t>
            </w:r>
            <w:r>
              <w:rPr>
                <w:color w:val="626262"/>
                <w:sz w:val="20"/>
                <w:szCs w:val="20"/>
              </w:rPr>
              <w:t>Условие об исключении счетов - безусловный опцион на обратное приобретение (покупку), дающий предприятию право обратного требования переданных активов, при этом действуют некоторые ограничения. При условии, что такой опцион приводит к тому, что предприятие не сохраняет и не передает практически все риски и вознаграждения, связанные с владением активом, он препятствует прекращению признания только в пределах суммы обратной покупки (допуская, что принимающая сторона не может продать активы). Например, если балансовая стоимость и поступления от передачи заемных активов составляют 100 000 д.е. и любой отдельный заем может быть выкуплен, при этом совокупная сумма займов, которые могут быть выкуплены, не может превышать 10 000 д.е., то 90 000 д.е. из суммы займов отвечают критериям прекращения признания.</w:t>
            </w:r>
          </w:p>
          <w:p w:rsidR="00BB1376" w:rsidRDefault="00BB1376" w:rsidP="00BB1376">
            <w:pPr>
              <w:pStyle w:val="a3"/>
              <w:jc w:val="both"/>
              <w:rPr>
                <w:color w:val="626262"/>
                <w:sz w:val="20"/>
                <w:szCs w:val="20"/>
              </w:rPr>
            </w:pPr>
            <w:r>
              <w:rPr>
                <w:color w:val="626262"/>
                <w:sz w:val="20"/>
                <w:szCs w:val="20"/>
              </w:rPr>
              <w:t>(m)         </w:t>
            </w:r>
            <w:r>
              <w:rPr>
                <w:rStyle w:val="apple-converted-space"/>
                <w:color w:val="626262"/>
                <w:sz w:val="20"/>
                <w:szCs w:val="20"/>
              </w:rPr>
              <w:t> </w:t>
            </w:r>
            <w:r>
              <w:rPr>
                <w:rStyle w:val="a5"/>
                <w:color w:val="626262"/>
                <w:sz w:val="20"/>
                <w:szCs w:val="20"/>
              </w:rPr>
              <w:t>Опционы на окончательную покупку.</w:t>
            </w:r>
            <w:r>
              <w:rPr>
                <w:rStyle w:val="apple-converted-space"/>
                <w:color w:val="626262"/>
                <w:sz w:val="20"/>
                <w:szCs w:val="20"/>
              </w:rPr>
              <w:t> </w:t>
            </w:r>
            <w:r>
              <w:rPr>
                <w:color w:val="626262"/>
                <w:sz w:val="20"/>
                <w:szCs w:val="20"/>
              </w:rPr>
              <w:t>Предприятие, которое может быть передающей стороной, обслуживающее переданные активы, может иметь опцион на окончательную покупку остающихся переданных активов, если сумма активов в обращении падает до определенного уровня, когда затраты на обслуживание этих активов становятся обременительными в сравнении с выгодами от обслуживания. При условии, что такой опцион на окончательную покупку приводит к тому, что предприятие не сохраняет и не передает практически все риски и вознаграждения, связанные с владением активом, и принимающая сторона не может продать активы, он препятствует прекращению признания только в пределах суммы активов, входящих в опцион на покупку.</w:t>
            </w:r>
          </w:p>
          <w:p w:rsidR="00BB1376" w:rsidRDefault="00BB1376" w:rsidP="00BB1376">
            <w:pPr>
              <w:pStyle w:val="a3"/>
              <w:jc w:val="both"/>
              <w:rPr>
                <w:color w:val="626262"/>
                <w:sz w:val="20"/>
                <w:szCs w:val="20"/>
              </w:rPr>
            </w:pPr>
            <w:r>
              <w:rPr>
                <w:color w:val="626262"/>
                <w:sz w:val="20"/>
                <w:szCs w:val="20"/>
              </w:rPr>
              <w:t>(n)          </w:t>
            </w:r>
            <w:r>
              <w:rPr>
                <w:rStyle w:val="apple-converted-space"/>
                <w:color w:val="626262"/>
                <w:sz w:val="20"/>
                <w:szCs w:val="20"/>
              </w:rPr>
              <w:t> </w:t>
            </w:r>
            <w:r>
              <w:rPr>
                <w:rStyle w:val="a5"/>
                <w:color w:val="626262"/>
                <w:sz w:val="20"/>
                <w:szCs w:val="20"/>
              </w:rPr>
              <w:t>Субординированные доли участия и кредитные гарантии.</w:t>
            </w:r>
            <w:r>
              <w:rPr>
                <w:rStyle w:val="apple-converted-space"/>
                <w:color w:val="626262"/>
                <w:sz w:val="20"/>
                <w:szCs w:val="20"/>
              </w:rPr>
              <w:t> </w:t>
            </w:r>
            <w:r>
              <w:rPr>
                <w:color w:val="626262"/>
                <w:sz w:val="20"/>
                <w:szCs w:val="20"/>
              </w:rPr>
              <w:t>Предприятие может повысить качество кредита для принимающей стороны путем субординирования (придания более низкого статуса) некоторых или всех своих долей участия, сохранившихся в переданном активе. В качестве альтернативы предприятие может повысить качество кредита для принимающей стороны, предоставив кредитную гарантию, которая может быть неограниченной либо ограниченной определенной суммой. Если предприятие сохраняет практически все риски и вознаграждения, связанные с владением переданным активом, то оно продолжает признавать этот актив целиком. Если предприятие сохраняет некоторые, но не все риски и вознаграждения, связанные с владением активом, и сохранило контроль, то прекращение признания не производится в пределах суммы денежных средств или других активов, которую предприятие может быть обязано заплатить.</w:t>
            </w:r>
          </w:p>
          <w:p w:rsidR="00BB1376" w:rsidRDefault="00BB1376" w:rsidP="00BB1376">
            <w:pPr>
              <w:pStyle w:val="a3"/>
              <w:jc w:val="both"/>
              <w:rPr>
                <w:color w:val="626262"/>
                <w:sz w:val="20"/>
                <w:szCs w:val="20"/>
              </w:rPr>
            </w:pPr>
            <w:r>
              <w:rPr>
                <w:color w:val="626262"/>
                <w:sz w:val="20"/>
                <w:szCs w:val="20"/>
              </w:rPr>
              <w:t>(o)          </w:t>
            </w:r>
            <w:r>
              <w:rPr>
                <w:rStyle w:val="apple-converted-space"/>
                <w:color w:val="626262"/>
                <w:sz w:val="20"/>
                <w:szCs w:val="20"/>
              </w:rPr>
              <w:t> </w:t>
            </w:r>
            <w:r>
              <w:rPr>
                <w:rStyle w:val="a5"/>
                <w:color w:val="626262"/>
                <w:sz w:val="20"/>
                <w:szCs w:val="20"/>
              </w:rPr>
              <w:t>Свопы совокупного дохода.</w:t>
            </w:r>
            <w:r>
              <w:rPr>
                <w:rStyle w:val="apple-converted-space"/>
                <w:color w:val="626262"/>
                <w:sz w:val="20"/>
                <w:szCs w:val="20"/>
              </w:rPr>
              <w:t> </w:t>
            </w:r>
            <w:r>
              <w:rPr>
                <w:color w:val="626262"/>
                <w:sz w:val="20"/>
                <w:szCs w:val="20"/>
              </w:rPr>
              <w:t>Предприятие может продать финансовый актив принимающей стороне и заключить с ней договор свопа совокупного дохода, в соответствии с которым предприятие получает все потоки денежных средств по процентам по лежащему в основе активу, в обмен на фиксированную выплату или выплату по переменной ставке, и при этом предприятие принимает на себя все повышения или понижения справедливой стоимости лежащего в основе актива. В таком случае запрещается прекращать признание всего актива.</w:t>
            </w:r>
          </w:p>
          <w:p w:rsidR="00BB1376" w:rsidRDefault="00BB1376" w:rsidP="00BB1376">
            <w:pPr>
              <w:pStyle w:val="a3"/>
              <w:jc w:val="both"/>
              <w:rPr>
                <w:color w:val="626262"/>
                <w:sz w:val="20"/>
                <w:szCs w:val="20"/>
              </w:rPr>
            </w:pPr>
            <w:r>
              <w:rPr>
                <w:color w:val="626262"/>
                <w:sz w:val="20"/>
                <w:szCs w:val="20"/>
              </w:rPr>
              <w:t>(p)          </w:t>
            </w:r>
            <w:r>
              <w:rPr>
                <w:rStyle w:val="apple-converted-space"/>
                <w:color w:val="626262"/>
                <w:sz w:val="20"/>
                <w:szCs w:val="20"/>
              </w:rPr>
              <w:t> </w:t>
            </w:r>
            <w:r>
              <w:rPr>
                <w:rStyle w:val="a5"/>
                <w:color w:val="626262"/>
                <w:sz w:val="20"/>
                <w:szCs w:val="20"/>
              </w:rPr>
              <w:t>Процентные свопы.</w:t>
            </w:r>
            <w:r>
              <w:rPr>
                <w:rStyle w:val="apple-converted-space"/>
                <w:color w:val="626262"/>
                <w:sz w:val="20"/>
                <w:szCs w:val="20"/>
              </w:rPr>
              <w:t> </w:t>
            </w:r>
            <w:r>
              <w:rPr>
                <w:color w:val="626262"/>
                <w:sz w:val="20"/>
                <w:szCs w:val="20"/>
              </w:rPr>
              <w:t xml:space="preserve">Предприятие может передать принимающей стороне финансовый актив с фиксированной ставкой и заключить договор о процентном свопе, в соответствии с которым принимающая сторона получает проценты по фиксированной ставке и платит по переменной ставке, исходя из условной суммы, которая равна основной сумме переданного финансового актива. Процентный своп не препятствует </w:t>
            </w:r>
            <w:r>
              <w:rPr>
                <w:color w:val="626262"/>
                <w:sz w:val="20"/>
                <w:szCs w:val="20"/>
              </w:rPr>
              <w:lastRenderedPageBreak/>
              <w:t>прекращению признания переданного актива при условии, что выплаты по свопу не зависят от производимых выплат по переданному активу.</w:t>
            </w:r>
          </w:p>
          <w:p w:rsidR="00BB1376" w:rsidRDefault="00BB1376" w:rsidP="00BB1376">
            <w:pPr>
              <w:pStyle w:val="a3"/>
              <w:jc w:val="both"/>
              <w:rPr>
                <w:color w:val="626262"/>
                <w:sz w:val="20"/>
                <w:szCs w:val="20"/>
              </w:rPr>
            </w:pPr>
            <w:r>
              <w:rPr>
                <w:color w:val="626262"/>
                <w:sz w:val="20"/>
                <w:szCs w:val="20"/>
              </w:rPr>
              <w:t>(q)          </w:t>
            </w:r>
            <w:r>
              <w:rPr>
                <w:rStyle w:val="apple-converted-space"/>
                <w:color w:val="626262"/>
                <w:sz w:val="20"/>
                <w:szCs w:val="20"/>
              </w:rPr>
              <w:t> </w:t>
            </w:r>
            <w:r>
              <w:rPr>
                <w:rStyle w:val="a5"/>
                <w:color w:val="626262"/>
                <w:sz w:val="20"/>
                <w:szCs w:val="20"/>
              </w:rPr>
              <w:t>Амортизируемые процентные свопы.</w:t>
            </w:r>
            <w:r>
              <w:rPr>
                <w:rStyle w:val="apple-converted-space"/>
                <w:color w:val="626262"/>
                <w:sz w:val="20"/>
                <w:szCs w:val="20"/>
              </w:rPr>
              <w:t> </w:t>
            </w:r>
            <w:r>
              <w:rPr>
                <w:color w:val="626262"/>
                <w:sz w:val="20"/>
                <w:szCs w:val="20"/>
              </w:rPr>
              <w:t>Предприятие может передать принимающей стороне финансовый актив с фиксированной ставкой, который выплачивается частями на протяжении определенного периода, и заключить договор об амортизируемом процентном свопе, в соответствии с которым принимающая сторона получает процент по фиксированной ставке и платит по переменной ставке на основе условной суммы. Если номинальная сумма свопа амортизируется таким образом, что в любой момент времени она равна непогашенной основной сумме переданного финансового актива, то своп обычно приводит к тому, что предприятие сохраняет значительный риск досрочного погашения, при этом предприятие продолжает признавать переданный актив либо целиком, либо в пределах своего продолжающегося участия. Напротив, если амортизация условной суммы свопа не привязана к непогашенной основной сумме переданного актива, то такой своп не приведет к тому, что предприятие сохранит риск досрочного погашения по активу. Таким образом, он не будет препятствовать прекращению признания переданного актива при условии, что выплаты по свопу не зависят от производимых выплат по процентам по переданному активу и своп не приводит к тому, что предприятие сохраняет какие-либо другие значительные риски и вознаграждения, связанные с владением переданным активом.</w:t>
            </w:r>
          </w:p>
          <w:p w:rsidR="00BB1376" w:rsidRDefault="00BB1376" w:rsidP="00BB1376">
            <w:pPr>
              <w:pStyle w:val="a3"/>
              <w:jc w:val="both"/>
              <w:rPr>
                <w:color w:val="626262"/>
                <w:sz w:val="20"/>
                <w:szCs w:val="20"/>
              </w:rPr>
            </w:pPr>
            <w:r>
              <w:rPr>
                <w:color w:val="626262"/>
                <w:sz w:val="20"/>
                <w:szCs w:val="20"/>
              </w:rPr>
              <w:t>AG52     В данном параграфе иллюстрируется применение метода продолжающегося участия, когда предприятие продолжает участвовать в части финансового актива.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01"/>
              <w:gridCol w:w="1868"/>
              <w:gridCol w:w="467"/>
              <w:gridCol w:w="1868"/>
              <w:gridCol w:w="467"/>
              <w:gridCol w:w="1868"/>
            </w:tblGrid>
            <w:tr w:rsidR="00BB1376" w:rsidTr="00BB1376">
              <w:trPr>
                <w:tblCellSpacing w:w="0" w:type="dxa"/>
              </w:trPr>
              <w:tc>
                <w:tcPr>
                  <w:tcW w:w="8640" w:type="dxa"/>
                  <w:gridSpan w:val="6"/>
                  <w:tcBorders>
                    <w:top w:val="outset" w:sz="6" w:space="0" w:color="auto"/>
                    <w:left w:val="outset" w:sz="6" w:space="0" w:color="auto"/>
                    <w:bottom w:val="outset" w:sz="6" w:space="0" w:color="auto"/>
                    <w:right w:val="outset" w:sz="6" w:space="0" w:color="auto"/>
                  </w:tcBorders>
                  <w:hideMark/>
                </w:tcPr>
                <w:p w:rsidR="00BB1376" w:rsidRDefault="00BB1376">
                  <w:pPr>
                    <w:pStyle w:val="a3"/>
                    <w:rPr>
                      <w:color w:val="626262"/>
                      <w:sz w:val="20"/>
                      <w:szCs w:val="20"/>
                    </w:rPr>
                  </w:pPr>
                  <w:r>
                    <w:rPr>
                      <w:color w:val="626262"/>
                      <w:sz w:val="20"/>
                      <w:szCs w:val="20"/>
                    </w:rPr>
                    <w:t>Предположим, что предприятие имеет портфель займов с возможностью досрочного погашения, купонная и эффективная ставка процента по которым равны 10 процентам, а основная сумма и амортизируемая стоимость равны 10 000 д.е. Оно совершает операцию, в результате которой в обмен на выплату 9 115 д.е. принимающая сторона приобретает право на получение платежей по основной сумме в размере 9 000 д.е. плюс проценты по этой сумме по ставке 9,5%. Предприятие сохраняет права на получение платежей по основной сумме в размере 1 000 д.е. плюс проценты по этой сумме по ставке 10% плюс дополнительный спрэд в размере 0,5 % по оставшейся основной сумме 9 000 д.е. Поступления от досрочного погашения распределяются пропорционально между предприятием и принимающей стороной в соотношении 1:9, но любые суммы по дефолтам вычитаются из доли предприятия, равной 1 000 д.е. до тех пор, пока эта доля не будет исчерпана. Справедливая стоимость займов на дату совершения операции равна 10 100 д.е., а расчетная справедливая стоимость дополнительного спрэда в размере 0,5% равна 40 д.е.</w:t>
                  </w:r>
                </w:p>
              </w:tc>
            </w:tr>
            <w:tr w:rsidR="00BB1376" w:rsidTr="00BB1376">
              <w:trPr>
                <w:tblCellSpacing w:w="0" w:type="dxa"/>
              </w:trPr>
              <w:tc>
                <w:tcPr>
                  <w:tcW w:w="8640" w:type="dxa"/>
                  <w:gridSpan w:val="6"/>
                  <w:tcBorders>
                    <w:top w:val="outset" w:sz="6" w:space="0" w:color="auto"/>
                    <w:left w:val="outset" w:sz="6" w:space="0" w:color="auto"/>
                    <w:bottom w:val="outset" w:sz="6" w:space="0" w:color="auto"/>
                    <w:right w:val="outset" w:sz="6" w:space="0" w:color="auto"/>
                  </w:tcBorders>
                  <w:hideMark/>
                </w:tcPr>
                <w:p w:rsidR="00BB1376" w:rsidRDefault="00BB1376">
                  <w:pPr>
                    <w:pStyle w:val="a3"/>
                    <w:rPr>
                      <w:color w:val="626262"/>
                      <w:sz w:val="20"/>
                      <w:szCs w:val="20"/>
                    </w:rPr>
                  </w:pPr>
                  <w:r>
                    <w:rPr>
                      <w:color w:val="626262"/>
                      <w:sz w:val="20"/>
                      <w:szCs w:val="20"/>
                    </w:rPr>
                    <w:t>Предприятие определяет, что оно передало некоторые значительные риски и вознаграждения, связанные с владением активом (например, значительный риск досрочного погашения), но также и сохранило некоторые из них (вследствие субординирования сохранившейся доли участия) и сохранило контроль. Поэтому оно применяет метод продолжающегося участия.</w:t>
                  </w:r>
                </w:p>
              </w:tc>
            </w:tr>
            <w:tr w:rsidR="00BB1376" w:rsidTr="00BB1376">
              <w:trPr>
                <w:tblCellSpacing w:w="0" w:type="dxa"/>
              </w:trPr>
              <w:tc>
                <w:tcPr>
                  <w:tcW w:w="8640" w:type="dxa"/>
                  <w:gridSpan w:val="6"/>
                  <w:tcBorders>
                    <w:top w:val="outset" w:sz="6" w:space="0" w:color="auto"/>
                    <w:left w:val="outset" w:sz="6" w:space="0" w:color="auto"/>
                    <w:bottom w:val="outset" w:sz="6" w:space="0" w:color="auto"/>
                    <w:right w:val="outset" w:sz="6" w:space="0" w:color="auto"/>
                  </w:tcBorders>
                  <w:hideMark/>
                </w:tcPr>
                <w:p w:rsidR="00BB1376" w:rsidRDefault="00BB1376">
                  <w:pPr>
                    <w:pStyle w:val="a3"/>
                    <w:rPr>
                      <w:color w:val="626262"/>
                      <w:sz w:val="20"/>
                      <w:szCs w:val="20"/>
                    </w:rPr>
                  </w:pPr>
                  <w:r>
                    <w:rPr>
                      <w:color w:val="626262"/>
                      <w:sz w:val="20"/>
                      <w:szCs w:val="20"/>
                    </w:rPr>
                    <w:t>При применении настоящего стандарта предприятие анализирует операцию как (а) сохранение полностью пропорциональной доли участия в размере 1 000 д.е. плюс (b) субординирование этой сохранившейся доли участия, чтобы повысить качество кредита для принимающей стороны в отношении кредитных потерь.</w:t>
                  </w:r>
                </w:p>
              </w:tc>
            </w:tr>
            <w:tr w:rsidR="00BB1376" w:rsidTr="00BB1376">
              <w:trPr>
                <w:tblCellSpacing w:w="0" w:type="dxa"/>
              </w:trPr>
              <w:tc>
                <w:tcPr>
                  <w:tcW w:w="8640" w:type="dxa"/>
                  <w:gridSpan w:val="6"/>
                  <w:tcBorders>
                    <w:top w:val="outset" w:sz="6" w:space="0" w:color="auto"/>
                    <w:left w:val="outset" w:sz="6" w:space="0" w:color="auto"/>
                    <w:bottom w:val="outset" w:sz="6" w:space="0" w:color="auto"/>
                    <w:right w:val="outset" w:sz="6" w:space="0" w:color="auto"/>
                  </w:tcBorders>
                  <w:hideMark/>
                </w:tcPr>
                <w:p w:rsidR="00BB1376" w:rsidRDefault="00BB1376">
                  <w:pPr>
                    <w:pStyle w:val="a3"/>
                    <w:rPr>
                      <w:color w:val="626262"/>
                      <w:sz w:val="20"/>
                      <w:szCs w:val="20"/>
                    </w:rPr>
                  </w:pPr>
                  <w:r>
                    <w:rPr>
                      <w:color w:val="626262"/>
                      <w:sz w:val="20"/>
                      <w:szCs w:val="20"/>
                    </w:rPr>
                    <w:t>Согласно расчетам предприятия 9 090 д.е. (90 процентов от 10 100 д.е.) из полученного возмещения 9 115 д.е. представляют собой возмещение за полностью пропорциональную долю в 90 процентов. Остальная часть полученного возмещения (25 д.е.) представляет возмещение, полученное за субординирование сохранившейся доли участия для повышения качества кредита у принимающей стороны в отношении кредитных потерь. Кроме того, дополнительный спрэд в размере 0,5% представляет собой возмещение, полученное за повышение качества кредита. Соответственно, общая сумма возмещения, полученного за повышение качества кредита, равна 65 д.е. (25 д.е. + 40 д.е.).</w:t>
                  </w:r>
                </w:p>
              </w:tc>
            </w:tr>
            <w:tr w:rsidR="00BB1376" w:rsidTr="00BB1376">
              <w:trPr>
                <w:tblCellSpacing w:w="0" w:type="dxa"/>
              </w:trPr>
              <w:tc>
                <w:tcPr>
                  <w:tcW w:w="8640" w:type="dxa"/>
                  <w:gridSpan w:val="6"/>
                  <w:tcBorders>
                    <w:top w:val="outset" w:sz="6" w:space="0" w:color="auto"/>
                    <w:left w:val="outset" w:sz="6" w:space="0" w:color="auto"/>
                    <w:bottom w:val="outset" w:sz="6" w:space="0" w:color="auto"/>
                    <w:right w:val="outset" w:sz="6" w:space="0" w:color="auto"/>
                  </w:tcBorders>
                  <w:hideMark/>
                </w:tcPr>
                <w:p w:rsidR="00BB1376" w:rsidRDefault="00BB1376">
                  <w:pPr>
                    <w:pStyle w:val="a3"/>
                    <w:rPr>
                      <w:color w:val="626262"/>
                      <w:sz w:val="20"/>
                      <w:szCs w:val="20"/>
                    </w:rPr>
                  </w:pPr>
                  <w:r>
                    <w:rPr>
                      <w:color w:val="626262"/>
                      <w:sz w:val="20"/>
                      <w:szCs w:val="20"/>
                    </w:rPr>
                    <w:t>Предприятие рассчитывает прибыль или убыток от продажи 90-процентной доли в денежных потоках. Предположив, что отсутствуют данные об отдельной справедливой стоимости переданных 10 процентов и сохраненных 90 процентов на дату передачи, предприятие распределяет балансовую стоимость актива в соответствии с параграфом 28 следующим образом:</w:t>
                  </w:r>
                </w:p>
              </w:tc>
            </w:tr>
            <w:tr w:rsidR="00BB1376" w:rsidTr="00BB1376">
              <w:trPr>
                <w:tblCellSpacing w:w="0" w:type="dxa"/>
              </w:trPr>
              <w:tc>
                <w:tcPr>
                  <w:tcW w:w="2580" w:type="dxa"/>
                  <w:tcBorders>
                    <w:top w:val="outset" w:sz="6" w:space="0" w:color="auto"/>
                    <w:left w:val="outset" w:sz="6" w:space="0" w:color="auto"/>
                    <w:bottom w:val="outset" w:sz="6" w:space="0" w:color="auto"/>
                    <w:right w:val="outset" w:sz="6" w:space="0" w:color="auto"/>
                  </w:tcBorders>
                  <w:vAlign w:val="bottom"/>
                  <w:hideMark/>
                </w:tcPr>
                <w:p w:rsidR="00BB1376" w:rsidRDefault="00BB1376">
                  <w:pPr>
                    <w:pStyle w:val="a3"/>
                    <w:rPr>
                      <w:color w:val="626262"/>
                      <w:sz w:val="20"/>
                      <w:szCs w:val="20"/>
                    </w:rPr>
                  </w:pPr>
                  <w:r>
                    <w:rPr>
                      <w:color w:val="626262"/>
                      <w:sz w:val="20"/>
                      <w:szCs w:val="20"/>
                    </w:rPr>
                    <w:t> </w:t>
                  </w:r>
                </w:p>
              </w:tc>
              <w:tc>
                <w:tcPr>
                  <w:tcW w:w="1000" w:type="pct"/>
                  <w:tcBorders>
                    <w:top w:val="outset" w:sz="6" w:space="0" w:color="auto"/>
                    <w:left w:val="outset" w:sz="6" w:space="0" w:color="auto"/>
                    <w:bottom w:val="outset" w:sz="6" w:space="0" w:color="auto"/>
                    <w:right w:val="outset" w:sz="6" w:space="0" w:color="auto"/>
                  </w:tcBorders>
                  <w:vAlign w:val="bottom"/>
                  <w:hideMark/>
                </w:tcPr>
                <w:p w:rsidR="00BB1376" w:rsidRDefault="00BB1376">
                  <w:pPr>
                    <w:pStyle w:val="a3"/>
                    <w:jc w:val="right"/>
                    <w:rPr>
                      <w:color w:val="626262"/>
                      <w:sz w:val="20"/>
                      <w:szCs w:val="20"/>
                    </w:rPr>
                  </w:pPr>
                  <w:r>
                    <w:rPr>
                      <w:rStyle w:val="a5"/>
                      <w:color w:val="626262"/>
                      <w:sz w:val="20"/>
                      <w:szCs w:val="20"/>
                    </w:rPr>
                    <w:t>Расчетная справедливая стоимость</w:t>
                  </w:r>
                </w:p>
              </w:tc>
              <w:tc>
                <w:tcPr>
                  <w:tcW w:w="250" w:type="pct"/>
                  <w:tcBorders>
                    <w:top w:val="outset" w:sz="6" w:space="0" w:color="auto"/>
                    <w:left w:val="outset" w:sz="6" w:space="0" w:color="auto"/>
                    <w:bottom w:val="outset" w:sz="6" w:space="0" w:color="auto"/>
                    <w:right w:val="outset" w:sz="6" w:space="0" w:color="auto"/>
                  </w:tcBorders>
                  <w:hideMark/>
                </w:tcPr>
                <w:p w:rsidR="00BB1376" w:rsidRDefault="00BB1376">
                  <w:pPr>
                    <w:pStyle w:val="a3"/>
                    <w:rPr>
                      <w:color w:val="626262"/>
                      <w:sz w:val="20"/>
                      <w:szCs w:val="20"/>
                    </w:rPr>
                  </w:pPr>
                  <w:r>
                    <w:rPr>
                      <w:color w:val="626262"/>
                      <w:sz w:val="20"/>
                      <w:szCs w:val="20"/>
                    </w:rPr>
                    <w:t> </w:t>
                  </w:r>
                </w:p>
              </w:tc>
              <w:tc>
                <w:tcPr>
                  <w:tcW w:w="1000" w:type="pct"/>
                  <w:tcBorders>
                    <w:top w:val="outset" w:sz="6" w:space="0" w:color="auto"/>
                    <w:left w:val="outset" w:sz="6" w:space="0" w:color="auto"/>
                    <w:bottom w:val="outset" w:sz="6" w:space="0" w:color="auto"/>
                    <w:right w:val="outset" w:sz="6" w:space="0" w:color="auto"/>
                  </w:tcBorders>
                  <w:vAlign w:val="bottom"/>
                  <w:hideMark/>
                </w:tcPr>
                <w:p w:rsidR="00BB1376" w:rsidRDefault="00BB1376">
                  <w:pPr>
                    <w:pStyle w:val="a3"/>
                    <w:jc w:val="right"/>
                    <w:rPr>
                      <w:color w:val="626262"/>
                      <w:sz w:val="20"/>
                      <w:szCs w:val="20"/>
                    </w:rPr>
                  </w:pPr>
                  <w:r>
                    <w:rPr>
                      <w:rStyle w:val="a5"/>
                      <w:color w:val="626262"/>
                      <w:sz w:val="20"/>
                      <w:szCs w:val="20"/>
                    </w:rPr>
                    <w:t>Процент</w:t>
                  </w:r>
                </w:p>
              </w:tc>
              <w:tc>
                <w:tcPr>
                  <w:tcW w:w="250" w:type="pct"/>
                  <w:tcBorders>
                    <w:top w:val="outset" w:sz="6" w:space="0" w:color="auto"/>
                    <w:left w:val="outset" w:sz="6" w:space="0" w:color="auto"/>
                    <w:bottom w:val="outset" w:sz="6" w:space="0" w:color="auto"/>
                    <w:right w:val="outset" w:sz="6" w:space="0" w:color="auto"/>
                  </w:tcBorders>
                  <w:vAlign w:val="bottom"/>
                  <w:hideMark/>
                </w:tcPr>
                <w:p w:rsidR="00BB1376" w:rsidRDefault="00BB1376">
                  <w:pPr>
                    <w:pStyle w:val="a3"/>
                    <w:rPr>
                      <w:color w:val="626262"/>
                      <w:sz w:val="20"/>
                      <w:szCs w:val="20"/>
                    </w:rPr>
                  </w:pPr>
                  <w:r>
                    <w:rPr>
                      <w:color w:val="626262"/>
                      <w:sz w:val="20"/>
                      <w:szCs w:val="20"/>
                    </w:rPr>
                    <w:t> </w:t>
                  </w:r>
                </w:p>
              </w:tc>
              <w:tc>
                <w:tcPr>
                  <w:tcW w:w="1000" w:type="pct"/>
                  <w:tcBorders>
                    <w:top w:val="outset" w:sz="6" w:space="0" w:color="auto"/>
                    <w:left w:val="outset" w:sz="6" w:space="0" w:color="auto"/>
                    <w:bottom w:val="outset" w:sz="6" w:space="0" w:color="auto"/>
                    <w:right w:val="outset" w:sz="6" w:space="0" w:color="auto"/>
                  </w:tcBorders>
                  <w:vAlign w:val="bottom"/>
                  <w:hideMark/>
                </w:tcPr>
                <w:p w:rsidR="00BB1376" w:rsidRDefault="00BB1376">
                  <w:pPr>
                    <w:pStyle w:val="a3"/>
                    <w:jc w:val="right"/>
                    <w:rPr>
                      <w:color w:val="626262"/>
                      <w:sz w:val="20"/>
                      <w:szCs w:val="20"/>
                    </w:rPr>
                  </w:pPr>
                  <w:r>
                    <w:rPr>
                      <w:rStyle w:val="a5"/>
                      <w:color w:val="626262"/>
                      <w:sz w:val="20"/>
                      <w:szCs w:val="20"/>
                    </w:rPr>
                    <w:t>Распределенная балансовая стоимость</w:t>
                  </w:r>
                </w:p>
              </w:tc>
            </w:tr>
            <w:tr w:rsidR="00BB1376" w:rsidTr="00BB1376">
              <w:trPr>
                <w:tblCellSpacing w:w="0" w:type="dxa"/>
              </w:trPr>
              <w:tc>
                <w:tcPr>
                  <w:tcW w:w="2580" w:type="dxa"/>
                  <w:tcBorders>
                    <w:top w:val="outset" w:sz="6" w:space="0" w:color="auto"/>
                    <w:left w:val="outset" w:sz="6" w:space="0" w:color="auto"/>
                    <w:bottom w:val="outset" w:sz="6" w:space="0" w:color="auto"/>
                    <w:right w:val="outset" w:sz="6" w:space="0" w:color="auto"/>
                  </w:tcBorders>
                  <w:hideMark/>
                </w:tcPr>
                <w:p w:rsidR="00BB1376" w:rsidRDefault="00BB1376">
                  <w:pPr>
                    <w:pStyle w:val="a3"/>
                    <w:rPr>
                      <w:color w:val="626262"/>
                      <w:sz w:val="20"/>
                      <w:szCs w:val="20"/>
                    </w:rPr>
                  </w:pPr>
                  <w:r>
                    <w:rPr>
                      <w:color w:val="626262"/>
                      <w:sz w:val="20"/>
                      <w:szCs w:val="20"/>
                    </w:rPr>
                    <w:t>Переданная часть</w:t>
                  </w:r>
                </w:p>
              </w:tc>
              <w:tc>
                <w:tcPr>
                  <w:tcW w:w="1000" w:type="pct"/>
                  <w:tcBorders>
                    <w:top w:val="outset" w:sz="6" w:space="0" w:color="auto"/>
                    <w:left w:val="outset" w:sz="6" w:space="0" w:color="auto"/>
                    <w:bottom w:val="outset" w:sz="6" w:space="0" w:color="auto"/>
                    <w:right w:val="outset" w:sz="6" w:space="0" w:color="auto"/>
                  </w:tcBorders>
                  <w:vAlign w:val="bottom"/>
                  <w:hideMark/>
                </w:tcPr>
                <w:p w:rsidR="00BB1376" w:rsidRDefault="00BB1376">
                  <w:pPr>
                    <w:pStyle w:val="a3"/>
                    <w:jc w:val="right"/>
                    <w:rPr>
                      <w:color w:val="626262"/>
                      <w:sz w:val="20"/>
                      <w:szCs w:val="20"/>
                    </w:rPr>
                  </w:pPr>
                  <w:r>
                    <w:rPr>
                      <w:color w:val="626262"/>
                      <w:sz w:val="20"/>
                      <w:szCs w:val="20"/>
                    </w:rPr>
                    <w:t>9 090</w:t>
                  </w:r>
                </w:p>
              </w:tc>
              <w:tc>
                <w:tcPr>
                  <w:tcW w:w="250" w:type="pct"/>
                  <w:tcBorders>
                    <w:top w:val="outset" w:sz="6" w:space="0" w:color="auto"/>
                    <w:left w:val="outset" w:sz="6" w:space="0" w:color="auto"/>
                    <w:bottom w:val="outset" w:sz="6" w:space="0" w:color="auto"/>
                    <w:right w:val="outset" w:sz="6" w:space="0" w:color="auto"/>
                  </w:tcBorders>
                  <w:hideMark/>
                </w:tcPr>
                <w:p w:rsidR="00BB1376" w:rsidRDefault="00BB1376">
                  <w:pPr>
                    <w:pStyle w:val="a3"/>
                    <w:rPr>
                      <w:color w:val="626262"/>
                      <w:sz w:val="20"/>
                      <w:szCs w:val="20"/>
                    </w:rPr>
                  </w:pPr>
                  <w:r>
                    <w:rPr>
                      <w:color w:val="626262"/>
                      <w:sz w:val="20"/>
                      <w:szCs w:val="20"/>
                    </w:rPr>
                    <w:t> </w:t>
                  </w:r>
                </w:p>
              </w:tc>
              <w:tc>
                <w:tcPr>
                  <w:tcW w:w="1000" w:type="pct"/>
                  <w:tcBorders>
                    <w:top w:val="outset" w:sz="6" w:space="0" w:color="auto"/>
                    <w:left w:val="outset" w:sz="6" w:space="0" w:color="auto"/>
                    <w:bottom w:val="outset" w:sz="6" w:space="0" w:color="auto"/>
                    <w:right w:val="outset" w:sz="6" w:space="0" w:color="auto"/>
                  </w:tcBorders>
                  <w:vAlign w:val="bottom"/>
                  <w:hideMark/>
                </w:tcPr>
                <w:p w:rsidR="00BB1376" w:rsidRDefault="00BB1376">
                  <w:pPr>
                    <w:pStyle w:val="a3"/>
                    <w:jc w:val="right"/>
                    <w:rPr>
                      <w:color w:val="626262"/>
                      <w:sz w:val="20"/>
                      <w:szCs w:val="20"/>
                    </w:rPr>
                  </w:pPr>
                  <w:r>
                    <w:rPr>
                      <w:color w:val="626262"/>
                      <w:sz w:val="20"/>
                      <w:szCs w:val="20"/>
                    </w:rPr>
                    <w:t>90%</w:t>
                  </w:r>
                </w:p>
              </w:tc>
              <w:tc>
                <w:tcPr>
                  <w:tcW w:w="250" w:type="pct"/>
                  <w:tcBorders>
                    <w:top w:val="outset" w:sz="6" w:space="0" w:color="auto"/>
                    <w:left w:val="outset" w:sz="6" w:space="0" w:color="auto"/>
                    <w:bottom w:val="outset" w:sz="6" w:space="0" w:color="auto"/>
                    <w:right w:val="outset" w:sz="6" w:space="0" w:color="auto"/>
                  </w:tcBorders>
                  <w:hideMark/>
                </w:tcPr>
                <w:p w:rsidR="00BB1376" w:rsidRDefault="00BB1376">
                  <w:pPr>
                    <w:pStyle w:val="a3"/>
                    <w:rPr>
                      <w:color w:val="626262"/>
                      <w:sz w:val="20"/>
                      <w:szCs w:val="20"/>
                    </w:rPr>
                  </w:pPr>
                  <w:r>
                    <w:rPr>
                      <w:color w:val="626262"/>
                      <w:sz w:val="20"/>
                      <w:szCs w:val="20"/>
                    </w:rPr>
                    <w:t> </w:t>
                  </w:r>
                </w:p>
              </w:tc>
              <w:tc>
                <w:tcPr>
                  <w:tcW w:w="1000" w:type="pct"/>
                  <w:tcBorders>
                    <w:top w:val="outset" w:sz="6" w:space="0" w:color="auto"/>
                    <w:left w:val="outset" w:sz="6" w:space="0" w:color="auto"/>
                    <w:bottom w:val="outset" w:sz="6" w:space="0" w:color="auto"/>
                    <w:right w:val="outset" w:sz="6" w:space="0" w:color="auto"/>
                  </w:tcBorders>
                  <w:vAlign w:val="bottom"/>
                  <w:hideMark/>
                </w:tcPr>
                <w:p w:rsidR="00BB1376" w:rsidRDefault="00BB1376">
                  <w:pPr>
                    <w:pStyle w:val="a3"/>
                    <w:jc w:val="right"/>
                    <w:rPr>
                      <w:color w:val="626262"/>
                      <w:sz w:val="20"/>
                      <w:szCs w:val="20"/>
                    </w:rPr>
                  </w:pPr>
                  <w:r>
                    <w:rPr>
                      <w:color w:val="626262"/>
                      <w:sz w:val="20"/>
                      <w:szCs w:val="20"/>
                    </w:rPr>
                    <w:t>9 000</w:t>
                  </w:r>
                </w:p>
              </w:tc>
            </w:tr>
            <w:tr w:rsidR="00BB1376" w:rsidTr="00BB1376">
              <w:trPr>
                <w:tblCellSpacing w:w="0" w:type="dxa"/>
              </w:trPr>
              <w:tc>
                <w:tcPr>
                  <w:tcW w:w="2580" w:type="dxa"/>
                  <w:tcBorders>
                    <w:top w:val="outset" w:sz="6" w:space="0" w:color="auto"/>
                    <w:left w:val="outset" w:sz="6" w:space="0" w:color="auto"/>
                    <w:bottom w:val="outset" w:sz="6" w:space="0" w:color="auto"/>
                    <w:right w:val="outset" w:sz="6" w:space="0" w:color="auto"/>
                  </w:tcBorders>
                  <w:hideMark/>
                </w:tcPr>
                <w:p w:rsidR="00BB1376" w:rsidRDefault="00BB1376">
                  <w:pPr>
                    <w:pStyle w:val="a3"/>
                    <w:rPr>
                      <w:color w:val="626262"/>
                      <w:sz w:val="20"/>
                      <w:szCs w:val="20"/>
                    </w:rPr>
                  </w:pPr>
                  <w:r>
                    <w:rPr>
                      <w:color w:val="626262"/>
                      <w:sz w:val="20"/>
                      <w:szCs w:val="20"/>
                    </w:rPr>
                    <w:t>Сохраненная часть</w:t>
                  </w:r>
                </w:p>
              </w:tc>
              <w:tc>
                <w:tcPr>
                  <w:tcW w:w="1000" w:type="pct"/>
                  <w:tcBorders>
                    <w:top w:val="outset" w:sz="6" w:space="0" w:color="auto"/>
                    <w:left w:val="outset" w:sz="6" w:space="0" w:color="auto"/>
                    <w:bottom w:val="outset" w:sz="6" w:space="0" w:color="auto"/>
                    <w:right w:val="outset" w:sz="6" w:space="0" w:color="auto"/>
                  </w:tcBorders>
                  <w:vAlign w:val="bottom"/>
                  <w:hideMark/>
                </w:tcPr>
                <w:p w:rsidR="00BB1376" w:rsidRDefault="00BB1376">
                  <w:pPr>
                    <w:pStyle w:val="a3"/>
                    <w:jc w:val="right"/>
                    <w:rPr>
                      <w:color w:val="626262"/>
                      <w:sz w:val="20"/>
                      <w:szCs w:val="20"/>
                    </w:rPr>
                  </w:pPr>
                  <w:r>
                    <w:rPr>
                      <w:color w:val="626262"/>
                      <w:sz w:val="20"/>
                      <w:szCs w:val="20"/>
                    </w:rPr>
                    <w:t>1 010</w:t>
                  </w:r>
                </w:p>
              </w:tc>
              <w:tc>
                <w:tcPr>
                  <w:tcW w:w="250" w:type="pct"/>
                  <w:tcBorders>
                    <w:top w:val="outset" w:sz="6" w:space="0" w:color="auto"/>
                    <w:left w:val="outset" w:sz="6" w:space="0" w:color="auto"/>
                    <w:bottom w:val="outset" w:sz="6" w:space="0" w:color="auto"/>
                    <w:right w:val="outset" w:sz="6" w:space="0" w:color="auto"/>
                  </w:tcBorders>
                  <w:hideMark/>
                </w:tcPr>
                <w:p w:rsidR="00BB1376" w:rsidRDefault="00BB1376">
                  <w:pPr>
                    <w:pStyle w:val="a3"/>
                    <w:rPr>
                      <w:color w:val="626262"/>
                      <w:sz w:val="20"/>
                      <w:szCs w:val="20"/>
                    </w:rPr>
                  </w:pPr>
                  <w:r>
                    <w:rPr>
                      <w:color w:val="626262"/>
                      <w:sz w:val="20"/>
                      <w:szCs w:val="20"/>
                    </w:rPr>
                    <w:t> </w:t>
                  </w:r>
                </w:p>
              </w:tc>
              <w:tc>
                <w:tcPr>
                  <w:tcW w:w="1000" w:type="pct"/>
                  <w:tcBorders>
                    <w:top w:val="outset" w:sz="6" w:space="0" w:color="auto"/>
                    <w:left w:val="outset" w:sz="6" w:space="0" w:color="auto"/>
                    <w:bottom w:val="outset" w:sz="6" w:space="0" w:color="auto"/>
                    <w:right w:val="outset" w:sz="6" w:space="0" w:color="auto"/>
                  </w:tcBorders>
                  <w:vAlign w:val="bottom"/>
                  <w:hideMark/>
                </w:tcPr>
                <w:p w:rsidR="00BB1376" w:rsidRDefault="00BB1376">
                  <w:pPr>
                    <w:pStyle w:val="a3"/>
                    <w:jc w:val="right"/>
                    <w:rPr>
                      <w:color w:val="626262"/>
                      <w:sz w:val="20"/>
                      <w:szCs w:val="20"/>
                    </w:rPr>
                  </w:pPr>
                  <w:r>
                    <w:rPr>
                      <w:color w:val="626262"/>
                      <w:sz w:val="20"/>
                      <w:szCs w:val="20"/>
                    </w:rPr>
                    <w:t>10%</w:t>
                  </w:r>
                </w:p>
              </w:tc>
              <w:tc>
                <w:tcPr>
                  <w:tcW w:w="250" w:type="pct"/>
                  <w:tcBorders>
                    <w:top w:val="outset" w:sz="6" w:space="0" w:color="auto"/>
                    <w:left w:val="outset" w:sz="6" w:space="0" w:color="auto"/>
                    <w:bottom w:val="outset" w:sz="6" w:space="0" w:color="auto"/>
                    <w:right w:val="outset" w:sz="6" w:space="0" w:color="auto"/>
                  </w:tcBorders>
                  <w:hideMark/>
                </w:tcPr>
                <w:p w:rsidR="00BB1376" w:rsidRDefault="00BB1376">
                  <w:pPr>
                    <w:pStyle w:val="a3"/>
                    <w:rPr>
                      <w:color w:val="626262"/>
                      <w:sz w:val="20"/>
                      <w:szCs w:val="20"/>
                    </w:rPr>
                  </w:pPr>
                  <w:r>
                    <w:rPr>
                      <w:color w:val="626262"/>
                      <w:sz w:val="20"/>
                      <w:szCs w:val="20"/>
                    </w:rPr>
                    <w:t> </w:t>
                  </w:r>
                </w:p>
              </w:tc>
              <w:tc>
                <w:tcPr>
                  <w:tcW w:w="1000" w:type="pct"/>
                  <w:tcBorders>
                    <w:top w:val="outset" w:sz="6" w:space="0" w:color="auto"/>
                    <w:left w:val="outset" w:sz="6" w:space="0" w:color="auto"/>
                    <w:bottom w:val="outset" w:sz="6" w:space="0" w:color="auto"/>
                    <w:right w:val="outset" w:sz="6" w:space="0" w:color="auto"/>
                  </w:tcBorders>
                  <w:vAlign w:val="bottom"/>
                  <w:hideMark/>
                </w:tcPr>
                <w:p w:rsidR="00BB1376" w:rsidRDefault="00BB1376">
                  <w:pPr>
                    <w:pStyle w:val="a3"/>
                    <w:jc w:val="right"/>
                    <w:rPr>
                      <w:color w:val="626262"/>
                      <w:sz w:val="20"/>
                      <w:szCs w:val="20"/>
                    </w:rPr>
                  </w:pPr>
                  <w:r>
                    <w:rPr>
                      <w:color w:val="626262"/>
                      <w:sz w:val="20"/>
                      <w:szCs w:val="20"/>
                    </w:rPr>
                    <w:t>1 000</w:t>
                  </w:r>
                </w:p>
              </w:tc>
            </w:tr>
            <w:tr w:rsidR="00BB1376" w:rsidTr="00BB1376">
              <w:trPr>
                <w:tblCellSpacing w:w="0" w:type="dxa"/>
              </w:trPr>
              <w:tc>
                <w:tcPr>
                  <w:tcW w:w="2580" w:type="dxa"/>
                  <w:tcBorders>
                    <w:top w:val="outset" w:sz="6" w:space="0" w:color="auto"/>
                    <w:left w:val="outset" w:sz="6" w:space="0" w:color="auto"/>
                    <w:bottom w:val="outset" w:sz="6" w:space="0" w:color="auto"/>
                    <w:right w:val="outset" w:sz="6" w:space="0" w:color="auto"/>
                  </w:tcBorders>
                  <w:hideMark/>
                </w:tcPr>
                <w:p w:rsidR="00BB1376" w:rsidRDefault="00BB1376">
                  <w:pPr>
                    <w:pStyle w:val="a3"/>
                    <w:rPr>
                      <w:color w:val="626262"/>
                      <w:sz w:val="20"/>
                      <w:szCs w:val="20"/>
                    </w:rPr>
                  </w:pPr>
                  <w:r>
                    <w:rPr>
                      <w:rStyle w:val="a4"/>
                      <w:color w:val="626262"/>
                      <w:sz w:val="20"/>
                      <w:szCs w:val="20"/>
                    </w:rPr>
                    <w:t>Всего</w:t>
                  </w:r>
                </w:p>
              </w:tc>
              <w:tc>
                <w:tcPr>
                  <w:tcW w:w="1000" w:type="pct"/>
                  <w:tcBorders>
                    <w:top w:val="outset" w:sz="6" w:space="0" w:color="auto"/>
                    <w:left w:val="outset" w:sz="6" w:space="0" w:color="auto"/>
                    <w:bottom w:val="outset" w:sz="6" w:space="0" w:color="auto"/>
                    <w:right w:val="outset" w:sz="6" w:space="0" w:color="auto"/>
                  </w:tcBorders>
                  <w:vAlign w:val="bottom"/>
                  <w:hideMark/>
                </w:tcPr>
                <w:p w:rsidR="00BB1376" w:rsidRDefault="00BB1376">
                  <w:pPr>
                    <w:pStyle w:val="a3"/>
                    <w:jc w:val="right"/>
                    <w:rPr>
                      <w:color w:val="626262"/>
                      <w:sz w:val="20"/>
                      <w:szCs w:val="20"/>
                    </w:rPr>
                  </w:pPr>
                  <w:r>
                    <w:rPr>
                      <w:rStyle w:val="a4"/>
                      <w:color w:val="626262"/>
                      <w:sz w:val="20"/>
                      <w:szCs w:val="20"/>
                    </w:rPr>
                    <w:t>10</w:t>
                  </w:r>
                  <w:r>
                    <w:rPr>
                      <w:rStyle w:val="apple-converted-space"/>
                      <w:b/>
                      <w:bCs/>
                      <w:color w:val="626262"/>
                      <w:sz w:val="20"/>
                      <w:szCs w:val="20"/>
                    </w:rPr>
                    <w:t> </w:t>
                  </w:r>
                  <w:r>
                    <w:rPr>
                      <w:rStyle w:val="a4"/>
                      <w:color w:val="626262"/>
                      <w:sz w:val="20"/>
                      <w:szCs w:val="20"/>
                    </w:rPr>
                    <w:t>100</w:t>
                  </w:r>
                </w:p>
              </w:tc>
              <w:tc>
                <w:tcPr>
                  <w:tcW w:w="250" w:type="pct"/>
                  <w:tcBorders>
                    <w:top w:val="outset" w:sz="6" w:space="0" w:color="auto"/>
                    <w:left w:val="outset" w:sz="6" w:space="0" w:color="auto"/>
                    <w:bottom w:val="outset" w:sz="6" w:space="0" w:color="auto"/>
                    <w:right w:val="outset" w:sz="6" w:space="0" w:color="auto"/>
                  </w:tcBorders>
                  <w:hideMark/>
                </w:tcPr>
                <w:p w:rsidR="00BB1376" w:rsidRDefault="00BB1376">
                  <w:pPr>
                    <w:pStyle w:val="a3"/>
                    <w:rPr>
                      <w:color w:val="626262"/>
                      <w:sz w:val="20"/>
                      <w:szCs w:val="20"/>
                    </w:rPr>
                  </w:pPr>
                  <w:r>
                    <w:rPr>
                      <w:color w:val="626262"/>
                      <w:sz w:val="20"/>
                      <w:szCs w:val="20"/>
                    </w:rPr>
                    <w:t> </w:t>
                  </w:r>
                </w:p>
              </w:tc>
              <w:tc>
                <w:tcPr>
                  <w:tcW w:w="1000" w:type="pct"/>
                  <w:tcBorders>
                    <w:top w:val="outset" w:sz="6" w:space="0" w:color="auto"/>
                    <w:left w:val="outset" w:sz="6" w:space="0" w:color="auto"/>
                    <w:bottom w:val="outset" w:sz="6" w:space="0" w:color="auto"/>
                    <w:right w:val="outset" w:sz="6" w:space="0" w:color="auto"/>
                  </w:tcBorders>
                  <w:hideMark/>
                </w:tcPr>
                <w:p w:rsidR="00BB1376" w:rsidRDefault="00BB1376">
                  <w:pPr>
                    <w:pStyle w:val="a3"/>
                    <w:rPr>
                      <w:color w:val="626262"/>
                      <w:sz w:val="20"/>
                      <w:szCs w:val="20"/>
                    </w:rPr>
                  </w:pPr>
                  <w:r>
                    <w:rPr>
                      <w:color w:val="626262"/>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BB1376" w:rsidRDefault="00BB1376">
                  <w:pPr>
                    <w:pStyle w:val="a3"/>
                    <w:rPr>
                      <w:color w:val="626262"/>
                      <w:sz w:val="20"/>
                      <w:szCs w:val="20"/>
                    </w:rPr>
                  </w:pPr>
                  <w:r>
                    <w:rPr>
                      <w:color w:val="626262"/>
                      <w:sz w:val="20"/>
                      <w:szCs w:val="20"/>
                    </w:rPr>
                    <w:t> </w:t>
                  </w:r>
                </w:p>
              </w:tc>
              <w:tc>
                <w:tcPr>
                  <w:tcW w:w="1000" w:type="pct"/>
                  <w:tcBorders>
                    <w:top w:val="outset" w:sz="6" w:space="0" w:color="auto"/>
                    <w:left w:val="outset" w:sz="6" w:space="0" w:color="auto"/>
                    <w:bottom w:val="outset" w:sz="6" w:space="0" w:color="auto"/>
                    <w:right w:val="outset" w:sz="6" w:space="0" w:color="auto"/>
                  </w:tcBorders>
                  <w:vAlign w:val="bottom"/>
                  <w:hideMark/>
                </w:tcPr>
                <w:p w:rsidR="00BB1376" w:rsidRDefault="00BB1376">
                  <w:pPr>
                    <w:pStyle w:val="a3"/>
                    <w:jc w:val="right"/>
                    <w:rPr>
                      <w:color w:val="626262"/>
                      <w:sz w:val="20"/>
                      <w:szCs w:val="20"/>
                    </w:rPr>
                  </w:pPr>
                  <w:r>
                    <w:rPr>
                      <w:rStyle w:val="a4"/>
                      <w:color w:val="626262"/>
                      <w:sz w:val="20"/>
                      <w:szCs w:val="20"/>
                    </w:rPr>
                    <w:t>10</w:t>
                  </w:r>
                  <w:r>
                    <w:rPr>
                      <w:rStyle w:val="apple-converted-space"/>
                      <w:b/>
                      <w:bCs/>
                      <w:color w:val="626262"/>
                      <w:sz w:val="20"/>
                      <w:szCs w:val="20"/>
                    </w:rPr>
                    <w:t> </w:t>
                  </w:r>
                  <w:r>
                    <w:rPr>
                      <w:rStyle w:val="a4"/>
                      <w:color w:val="626262"/>
                      <w:sz w:val="20"/>
                      <w:szCs w:val="20"/>
                    </w:rPr>
                    <w:t>000</w:t>
                  </w:r>
                </w:p>
              </w:tc>
            </w:tr>
            <w:tr w:rsidR="00BB1376" w:rsidTr="00BB1376">
              <w:trPr>
                <w:tblCellSpacing w:w="0" w:type="dxa"/>
              </w:trPr>
              <w:tc>
                <w:tcPr>
                  <w:tcW w:w="6465" w:type="dxa"/>
                  <w:gridSpan w:val="4"/>
                  <w:tcBorders>
                    <w:top w:val="outset" w:sz="6" w:space="0" w:color="auto"/>
                    <w:left w:val="outset" w:sz="6" w:space="0" w:color="auto"/>
                    <w:bottom w:val="outset" w:sz="6" w:space="0" w:color="auto"/>
                    <w:right w:val="outset" w:sz="6" w:space="0" w:color="auto"/>
                  </w:tcBorders>
                  <w:hideMark/>
                </w:tcPr>
                <w:p w:rsidR="00BB1376" w:rsidRDefault="00BB1376">
                  <w:pPr>
                    <w:pStyle w:val="a3"/>
                    <w:rPr>
                      <w:color w:val="626262"/>
                      <w:sz w:val="20"/>
                      <w:szCs w:val="20"/>
                    </w:rPr>
                  </w:pPr>
                  <w:r>
                    <w:rPr>
                      <w:color w:val="626262"/>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BB1376" w:rsidRDefault="00BB1376">
                  <w:pPr>
                    <w:pStyle w:val="a3"/>
                    <w:rPr>
                      <w:color w:val="626262"/>
                      <w:sz w:val="20"/>
                      <w:szCs w:val="20"/>
                    </w:rPr>
                  </w:pPr>
                  <w:r>
                    <w:rPr>
                      <w:color w:val="626262"/>
                      <w:sz w:val="20"/>
                      <w:szCs w:val="20"/>
                    </w:rPr>
                    <w:t> </w:t>
                  </w:r>
                </w:p>
              </w:tc>
              <w:tc>
                <w:tcPr>
                  <w:tcW w:w="1000" w:type="pct"/>
                  <w:tcBorders>
                    <w:top w:val="outset" w:sz="6" w:space="0" w:color="auto"/>
                    <w:left w:val="outset" w:sz="6" w:space="0" w:color="auto"/>
                    <w:bottom w:val="outset" w:sz="6" w:space="0" w:color="auto"/>
                    <w:right w:val="outset" w:sz="6" w:space="0" w:color="auto"/>
                  </w:tcBorders>
                  <w:vAlign w:val="bottom"/>
                  <w:hideMark/>
                </w:tcPr>
                <w:p w:rsidR="00BB1376" w:rsidRDefault="00BB1376">
                  <w:pPr>
                    <w:pStyle w:val="a3"/>
                    <w:jc w:val="right"/>
                    <w:rPr>
                      <w:color w:val="626262"/>
                      <w:sz w:val="20"/>
                      <w:szCs w:val="20"/>
                    </w:rPr>
                  </w:pPr>
                  <w:r>
                    <w:rPr>
                      <w:color w:val="626262"/>
                      <w:sz w:val="20"/>
                      <w:szCs w:val="20"/>
                    </w:rPr>
                    <w:t> </w:t>
                  </w:r>
                </w:p>
              </w:tc>
            </w:tr>
            <w:tr w:rsidR="00BB1376" w:rsidTr="00BB1376">
              <w:trPr>
                <w:tblCellSpacing w:w="0" w:type="dxa"/>
              </w:trPr>
              <w:tc>
                <w:tcPr>
                  <w:tcW w:w="8640" w:type="dxa"/>
                  <w:gridSpan w:val="6"/>
                  <w:tcBorders>
                    <w:top w:val="outset" w:sz="6" w:space="0" w:color="auto"/>
                    <w:left w:val="outset" w:sz="6" w:space="0" w:color="auto"/>
                    <w:bottom w:val="outset" w:sz="6" w:space="0" w:color="auto"/>
                    <w:right w:val="outset" w:sz="6" w:space="0" w:color="auto"/>
                  </w:tcBorders>
                  <w:hideMark/>
                </w:tcPr>
                <w:p w:rsidR="00BB1376" w:rsidRDefault="00BB1376">
                  <w:pPr>
                    <w:pStyle w:val="a3"/>
                    <w:rPr>
                      <w:color w:val="626262"/>
                      <w:sz w:val="20"/>
                      <w:szCs w:val="20"/>
                    </w:rPr>
                  </w:pPr>
                  <w:r>
                    <w:rPr>
                      <w:color w:val="626262"/>
                      <w:sz w:val="20"/>
                      <w:szCs w:val="20"/>
                    </w:rPr>
                    <w:t xml:space="preserve">Предприятие рассчитывает прибыль или убыток от продажи 90-процентной доли денежных средств путем вычитания распределенной балансовой стоимости переданной части из суммы полученного возмещения, </w:t>
                  </w:r>
                  <w:r>
                    <w:rPr>
                      <w:color w:val="626262"/>
                      <w:sz w:val="20"/>
                      <w:szCs w:val="20"/>
                    </w:rPr>
                    <w:lastRenderedPageBreak/>
                    <w:t>т.е. 90 д.е. (9 090 д.е. - 9 000 д.е.). Балансовая стоимость сохраненной предприятием части равна 1 000 д.е.</w:t>
                  </w:r>
                </w:p>
                <w:p w:rsidR="00BB1376" w:rsidRDefault="00BB1376">
                  <w:pPr>
                    <w:pStyle w:val="a3"/>
                    <w:rPr>
                      <w:color w:val="626262"/>
                      <w:sz w:val="20"/>
                      <w:szCs w:val="20"/>
                    </w:rPr>
                  </w:pPr>
                  <w:r>
                    <w:rPr>
                      <w:color w:val="626262"/>
                      <w:sz w:val="20"/>
                      <w:szCs w:val="20"/>
                    </w:rPr>
                    <w:t>Кроме того, предприятие признает продолжающееся участие, являющееся результатом субординирования своей сохранившейся доли участия в отношении кредитных потерь. Соответственно, оно признает актив в размере 1 000 д.е. (максимальный размер потоков денежных средств, которые оно не получит в результате субординирования) и связанное обязательство в размере 1 065 д.е. (максимальный размер потоков денежных средств, которые оно не получит в результате субординирования, т.е. 1 000 д.е. плюс справедливая стоимость субординирования в размере 65 д.е.).</w:t>
                  </w:r>
                </w:p>
                <w:p w:rsidR="00BB1376" w:rsidRDefault="00BB1376">
                  <w:pPr>
                    <w:pStyle w:val="a3"/>
                    <w:rPr>
                      <w:color w:val="626262"/>
                      <w:sz w:val="20"/>
                      <w:szCs w:val="20"/>
                    </w:rPr>
                  </w:pPr>
                  <w:r>
                    <w:rPr>
                      <w:color w:val="626262"/>
                      <w:sz w:val="20"/>
                      <w:szCs w:val="20"/>
                    </w:rPr>
                    <w:t>Предприятие использует всю вышеуказанную информацию для учета операции следующим образом:</w:t>
                  </w:r>
                </w:p>
              </w:tc>
            </w:tr>
            <w:tr w:rsidR="00BB1376" w:rsidTr="00BB1376">
              <w:trPr>
                <w:tblCellSpacing w:w="0" w:type="dxa"/>
              </w:trPr>
              <w:tc>
                <w:tcPr>
                  <w:tcW w:w="4740" w:type="dxa"/>
                  <w:gridSpan w:val="3"/>
                  <w:tcBorders>
                    <w:top w:val="outset" w:sz="6" w:space="0" w:color="auto"/>
                    <w:left w:val="outset" w:sz="6" w:space="0" w:color="auto"/>
                    <w:bottom w:val="outset" w:sz="6" w:space="0" w:color="auto"/>
                    <w:right w:val="outset" w:sz="6" w:space="0" w:color="auto"/>
                  </w:tcBorders>
                  <w:hideMark/>
                </w:tcPr>
                <w:p w:rsidR="00BB1376" w:rsidRDefault="00BB1376">
                  <w:pPr>
                    <w:pStyle w:val="a3"/>
                    <w:rPr>
                      <w:color w:val="626262"/>
                      <w:sz w:val="20"/>
                      <w:szCs w:val="20"/>
                    </w:rPr>
                  </w:pPr>
                  <w:r>
                    <w:rPr>
                      <w:color w:val="626262"/>
                      <w:sz w:val="20"/>
                      <w:szCs w:val="20"/>
                    </w:rPr>
                    <w:lastRenderedPageBreak/>
                    <w:t> </w:t>
                  </w:r>
                </w:p>
              </w:tc>
              <w:tc>
                <w:tcPr>
                  <w:tcW w:w="1000" w:type="pct"/>
                  <w:tcBorders>
                    <w:top w:val="outset" w:sz="6" w:space="0" w:color="auto"/>
                    <w:left w:val="outset" w:sz="6" w:space="0" w:color="auto"/>
                    <w:bottom w:val="outset" w:sz="6" w:space="0" w:color="auto"/>
                    <w:right w:val="outset" w:sz="6" w:space="0" w:color="auto"/>
                  </w:tcBorders>
                  <w:vAlign w:val="bottom"/>
                  <w:hideMark/>
                </w:tcPr>
                <w:p w:rsidR="00BB1376" w:rsidRDefault="00BB1376">
                  <w:pPr>
                    <w:pStyle w:val="a3"/>
                    <w:jc w:val="right"/>
                    <w:rPr>
                      <w:color w:val="626262"/>
                      <w:sz w:val="20"/>
                      <w:szCs w:val="20"/>
                    </w:rPr>
                  </w:pPr>
                  <w:r>
                    <w:rPr>
                      <w:rStyle w:val="a5"/>
                      <w:color w:val="626262"/>
                      <w:sz w:val="20"/>
                      <w:szCs w:val="20"/>
                    </w:rPr>
                    <w:t>Дебет</w:t>
                  </w:r>
                </w:p>
              </w:tc>
              <w:tc>
                <w:tcPr>
                  <w:tcW w:w="250" w:type="pct"/>
                  <w:tcBorders>
                    <w:top w:val="outset" w:sz="6" w:space="0" w:color="auto"/>
                    <w:left w:val="outset" w:sz="6" w:space="0" w:color="auto"/>
                    <w:bottom w:val="outset" w:sz="6" w:space="0" w:color="auto"/>
                    <w:right w:val="outset" w:sz="6" w:space="0" w:color="auto"/>
                  </w:tcBorders>
                  <w:hideMark/>
                </w:tcPr>
                <w:p w:rsidR="00BB1376" w:rsidRDefault="00BB1376">
                  <w:pPr>
                    <w:pStyle w:val="a3"/>
                    <w:rPr>
                      <w:color w:val="626262"/>
                      <w:sz w:val="20"/>
                      <w:szCs w:val="20"/>
                    </w:rPr>
                  </w:pPr>
                  <w:r>
                    <w:rPr>
                      <w:color w:val="626262"/>
                      <w:sz w:val="20"/>
                      <w:szCs w:val="20"/>
                    </w:rPr>
                    <w:t> </w:t>
                  </w:r>
                </w:p>
              </w:tc>
              <w:tc>
                <w:tcPr>
                  <w:tcW w:w="1000" w:type="pct"/>
                  <w:tcBorders>
                    <w:top w:val="outset" w:sz="6" w:space="0" w:color="auto"/>
                    <w:left w:val="outset" w:sz="6" w:space="0" w:color="auto"/>
                    <w:bottom w:val="outset" w:sz="6" w:space="0" w:color="auto"/>
                    <w:right w:val="outset" w:sz="6" w:space="0" w:color="auto"/>
                  </w:tcBorders>
                  <w:vAlign w:val="bottom"/>
                  <w:hideMark/>
                </w:tcPr>
                <w:p w:rsidR="00BB1376" w:rsidRDefault="00BB1376">
                  <w:pPr>
                    <w:pStyle w:val="a3"/>
                    <w:jc w:val="right"/>
                    <w:rPr>
                      <w:color w:val="626262"/>
                      <w:sz w:val="20"/>
                      <w:szCs w:val="20"/>
                    </w:rPr>
                  </w:pPr>
                  <w:r>
                    <w:rPr>
                      <w:rStyle w:val="a5"/>
                      <w:color w:val="626262"/>
                      <w:sz w:val="20"/>
                      <w:szCs w:val="20"/>
                    </w:rPr>
                    <w:t>Кредит</w:t>
                  </w:r>
                </w:p>
              </w:tc>
            </w:tr>
            <w:tr w:rsidR="00BB1376" w:rsidTr="00BB1376">
              <w:trPr>
                <w:tblCellSpacing w:w="0" w:type="dxa"/>
              </w:trPr>
              <w:tc>
                <w:tcPr>
                  <w:tcW w:w="4740" w:type="dxa"/>
                  <w:gridSpan w:val="3"/>
                  <w:tcBorders>
                    <w:top w:val="outset" w:sz="6" w:space="0" w:color="auto"/>
                    <w:left w:val="outset" w:sz="6" w:space="0" w:color="auto"/>
                    <w:bottom w:val="outset" w:sz="6" w:space="0" w:color="auto"/>
                    <w:right w:val="outset" w:sz="6" w:space="0" w:color="auto"/>
                  </w:tcBorders>
                  <w:hideMark/>
                </w:tcPr>
                <w:p w:rsidR="00BB1376" w:rsidRDefault="00BB1376">
                  <w:pPr>
                    <w:pStyle w:val="a3"/>
                    <w:rPr>
                      <w:color w:val="626262"/>
                      <w:sz w:val="20"/>
                      <w:szCs w:val="20"/>
                    </w:rPr>
                  </w:pPr>
                  <w:r>
                    <w:rPr>
                      <w:color w:val="626262"/>
                      <w:sz w:val="20"/>
                      <w:szCs w:val="20"/>
                    </w:rPr>
                    <w:t>Первоначальный актив</w:t>
                  </w:r>
                </w:p>
              </w:tc>
              <w:tc>
                <w:tcPr>
                  <w:tcW w:w="1000" w:type="pct"/>
                  <w:tcBorders>
                    <w:top w:val="outset" w:sz="6" w:space="0" w:color="auto"/>
                    <w:left w:val="outset" w:sz="6" w:space="0" w:color="auto"/>
                    <w:bottom w:val="outset" w:sz="6" w:space="0" w:color="auto"/>
                    <w:right w:val="outset" w:sz="6" w:space="0" w:color="auto"/>
                  </w:tcBorders>
                  <w:vAlign w:val="bottom"/>
                  <w:hideMark/>
                </w:tcPr>
                <w:p w:rsidR="00BB1376" w:rsidRDefault="00BB1376">
                  <w:pPr>
                    <w:pStyle w:val="a3"/>
                    <w:jc w:val="right"/>
                    <w:rPr>
                      <w:color w:val="626262"/>
                      <w:sz w:val="20"/>
                      <w:szCs w:val="20"/>
                    </w:rPr>
                  </w:pPr>
                  <w:r>
                    <w:rPr>
                      <w:color w:val="626262"/>
                      <w:sz w:val="20"/>
                      <w:szCs w:val="20"/>
                    </w:rPr>
                    <w:t>-</w:t>
                  </w:r>
                </w:p>
              </w:tc>
              <w:tc>
                <w:tcPr>
                  <w:tcW w:w="250" w:type="pct"/>
                  <w:tcBorders>
                    <w:top w:val="outset" w:sz="6" w:space="0" w:color="auto"/>
                    <w:left w:val="outset" w:sz="6" w:space="0" w:color="auto"/>
                    <w:bottom w:val="outset" w:sz="6" w:space="0" w:color="auto"/>
                    <w:right w:val="outset" w:sz="6" w:space="0" w:color="auto"/>
                  </w:tcBorders>
                  <w:hideMark/>
                </w:tcPr>
                <w:p w:rsidR="00BB1376" w:rsidRDefault="00BB1376">
                  <w:pPr>
                    <w:pStyle w:val="a3"/>
                    <w:rPr>
                      <w:color w:val="626262"/>
                      <w:sz w:val="20"/>
                      <w:szCs w:val="20"/>
                    </w:rPr>
                  </w:pPr>
                  <w:r>
                    <w:rPr>
                      <w:color w:val="626262"/>
                      <w:sz w:val="20"/>
                      <w:szCs w:val="20"/>
                    </w:rPr>
                    <w:t> </w:t>
                  </w:r>
                </w:p>
              </w:tc>
              <w:tc>
                <w:tcPr>
                  <w:tcW w:w="1000" w:type="pct"/>
                  <w:tcBorders>
                    <w:top w:val="outset" w:sz="6" w:space="0" w:color="auto"/>
                    <w:left w:val="outset" w:sz="6" w:space="0" w:color="auto"/>
                    <w:bottom w:val="outset" w:sz="6" w:space="0" w:color="auto"/>
                    <w:right w:val="outset" w:sz="6" w:space="0" w:color="auto"/>
                  </w:tcBorders>
                  <w:vAlign w:val="bottom"/>
                  <w:hideMark/>
                </w:tcPr>
                <w:p w:rsidR="00BB1376" w:rsidRDefault="00BB1376">
                  <w:pPr>
                    <w:pStyle w:val="a3"/>
                    <w:jc w:val="right"/>
                    <w:rPr>
                      <w:color w:val="626262"/>
                      <w:sz w:val="20"/>
                      <w:szCs w:val="20"/>
                    </w:rPr>
                  </w:pPr>
                  <w:r>
                    <w:rPr>
                      <w:color w:val="626262"/>
                      <w:sz w:val="20"/>
                      <w:szCs w:val="20"/>
                    </w:rPr>
                    <w:t>9 000</w:t>
                  </w:r>
                </w:p>
              </w:tc>
            </w:tr>
            <w:tr w:rsidR="00BB1376" w:rsidTr="00BB1376">
              <w:trPr>
                <w:tblCellSpacing w:w="0" w:type="dxa"/>
              </w:trPr>
              <w:tc>
                <w:tcPr>
                  <w:tcW w:w="4740" w:type="dxa"/>
                  <w:gridSpan w:val="3"/>
                  <w:tcBorders>
                    <w:top w:val="outset" w:sz="6" w:space="0" w:color="auto"/>
                    <w:left w:val="outset" w:sz="6" w:space="0" w:color="auto"/>
                    <w:bottom w:val="outset" w:sz="6" w:space="0" w:color="auto"/>
                    <w:right w:val="outset" w:sz="6" w:space="0" w:color="auto"/>
                  </w:tcBorders>
                  <w:hideMark/>
                </w:tcPr>
                <w:p w:rsidR="00BB1376" w:rsidRDefault="00BB1376">
                  <w:pPr>
                    <w:pStyle w:val="a3"/>
                    <w:rPr>
                      <w:color w:val="626262"/>
                      <w:sz w:val="20"/>
                      <w:szCs w:val="20"/>
                    </w:rPr>
                  </w:pPr>
                  <w:r>
                    <w:rPr>
                      <w:color w:val="626262"/>
                      <w:sz w:val="20"/>
                      <w:szCs w:val="20"/>
                    </w:rPr>
                    <w:t>Актив, признанный в результате субординирования, или остаточная доля</w:t>
                  </w:r>
                </w:p>
              </w:tc>
              <w:tc>
                <w:tcPr>
                  <w:tcW w:w="1000" w:type="pct"/>
                  <w:tcBorders>
                    <w:top w:val="outset" w:sz="6" w:space="0" w:color="auto"/>
                    <w:left w:val="outset" w:sz="6" w:space="0" w:color="auto"/>
                    <w:bottom w:val="outset" w:sz="6" w:space="0" w:color="auto"/>
                    <w:right w:val="outset" w:sz="6" w:space="0" w:color="auto"/>
                  </w:tcBorders>
                  <w:vAlign w:val="bottom"/>
                  <w:hideMark/>
                </w:tcPr>
                <w:p w:rsidR="00BB1376" w:rsidRDefault="00BB1376">
                  <w:pPr>
                    <w:pStyle w:val="a3"/>
                    <w:jc w:val="right"/>
                    <w:rPr>
                      <w:color w:val="626262"/>
                      <w:sz w:val="20"/>
                      <w:szCs w:val="20"/>
                    </w:rPr>
                  </w:pPr>
                  <w:r>
                    <w:rPr>
                      <w:color w:val="626262"/>
                      <w:sz w:val="20"/>
                      <w:szCs w:val="20"/>
                    </w:rPr>
                    <w:t>1 000</w:t>
                  </w:r>
                </w:p>
              </w:tc>
              <w:tc>
                <w:tcPr>
                  <w:tcW w:w="250" w:type="pct"/>
                  <w:tcBorders>
                    <w:top w:val="outset" w:sz="6" w:space="0" w:color="auto"/>
                    <w:left w:val="outset" w:sz="6" w:space="0" w:color="auto"/>
                    <w:bottom w:val="outset" w:sz="6" w:space="0" w:color="auto"/>
                    <w:right w:val="outset" w:sz="6" w:space="0" w:color="auto"/>
                  </w:tcBorders>
                  <w:hideMark/>
                </w:tcPr>
                <w:p w:rsidR="00BB1376" w:rsidRDefault="00BB1376">
                  <w:pPr>
                    <w:pStyle w:val="a3"/>
                    <w:rPr>
                      <w:color w:val="626262"/>
                      <w:sz w:val="20"/>
                      <w:szCs w:val="20"/>
                    </w:rPr>
                  </w:pPr>
                  <w:r>
                    <w:rPr>
                      <w:color w:val="626262"/>
                      <w:sz w:val="20"/>
                      <w:szCs w:val="20"/>
                    </w:rPr>
                    <w:t> </w:t>
                  </w:r>
                </w:p>
              </w:tc>
              <w:tc>
                <w:tcPr>
                  <w:tcW w:w="1000" w:type="pct"/>
                  <w:tcBorders>
                    <w:top w:val="outset" w:sz="6" w:space="0" w:color="auto"/>
                    <w:left w:val="outset" w:sz="6" w:space="0" w:color="auto"/>
                    <w:bottom w:val="outset" w:sz="6" w:space="0" w:color="auto"/>
                    <w:right w:val="outset" w:sz="6" w:space="0" w:color="auto"/>
                  </w:tcBorders>
                  <w:vAlign w:val="bottom"/>
                  <w:hideMark/>
                </w:tcPr>
                <w:p w:rsidR="00BB1376" w:rsidRDefault="00BB1376">
                  <w:pPr>
                    <w:pStyle w:val="a3"/>
                    <w:jc w:val="right"/>
                    <w:rPr>
                      <w:color w:val="626262"/>
                      <w:sz w:val="20"/>
                      <w:szCs w:val="20"/>
                    </w:rPr>
                  </w:pPr>
                  <w:r>
                    <w:rPr>
                      <w:color w:val="626262"/>
                      <w:sz w:val="20"/>
                      <w:szCs w:val="20"/>
                    </w:rPr>
                    <w:t>-</w:t>
                  </w:r>
                </w:p>
              </w:tc>
            </w:tr>
            <w:tr w:rsidR="00BB1376" w:rsidTr="00BB1376">
              <w:trPr>
                <w:tblCellSpacing w:w="0" w:type="dxa"/>
              </w:trPr>
              <w:tc>
                <w:tcPr>
                  <w:tcW w:w="4740" w:type="dxa"/>
                  <w:gridSpan w:val="3"/>
                  <w:tcBorders>
                    <w:top w:val="outset" w:sz="6" w:space="0" w:color="auto"/>
                    <w:left w:val="outset" w:sz="6" w:space="0" w:color="auto"/>
                    <w:bottom w:val="outset" w:sz="6" w:space="0" w:color="auto"/>
                    <w:right w:val="outset" w:sz="6" w:space="0" w:color="auto"/>
                  </w:tcBorders>
                  <w:hideMark/>
                </w:tcPr>
                <w:p w:rsidR="00BB1376" w:rsidRDefault="00BB1376">
                  <w:pPr>
                    <w:pStyle w:val="a3"/>
                    <w:rPr>
                      <w:color w:val="626262"/>
                      <w:sz w:val="20"/>
                      <w:szCs w:val="20"/>
                    </w:rPr>
                  </w:pPr>
                  <w:r>
                    <w:rPr>
                      <w:color w:val="626262"/>
                      <w:sz w:val="20"/>
                      <w:szCs w:val="20"/>
                    </w:rPr>
                    <w:t>Актив за возмещение, полученное в форме дополнительного спрэда</w:t>
                  </w:r>
                </w:p>
              </w:tc>
              <w:tc>
                <w:tcPr>
                  <w:tcW w:w="1000" w:type="pct"/>
                  <w:tcBorders>
                    <w:top w:val="outset" w:sz="6" w:space="0" w:color="auto"/>
                    <w:left w:val="outset" w:sz="6" w:space="0" w:color="auto"/>
                    <w:bottom w:val="outset" w:sz="6" w:space="0" w:color="auto"/>
                    <w:right w:val="outset" w:sz="6" w:space="0" w:color="auto"/>
                  </w:tcBorders>
                  <w:vAlign w:val="bottom"/>
                  <w:hideMark/>
                </w:tcPr>
                <w:p w:rsidR="00BB1376" w:rsidRDefault="00BB1376">
                  <w:pPr>
                    <w:pStyle w:val="a3"/>
                    <w:jc w:val="right"/>
                    <w:rPr>
                      <w:color w:val="626262"/>
                      <w:sz w:val="20"/>
                      <w:szCs w:val="20"/>
                    </w:rPr>
                  </w:pPr>
                  <w:r>
                    <w:rPr>
                      <w:color w:val="626262"/>
                      <w:sz w:val="20"/>
                      <w:szCs w:val="20"/>
                    </w:rPr>
                    <w:t>40</w:t>
                  </w:r>
                </w:p>
              </w:tc>
              <w:tc>
                <w:tcPr>
                  <w:tcW w:w="250" w:type="pct"/>
                  <w:tcBorders>
                    <w:top w:val="outset" w:sz="6" w:space="0" w:color="auto"/>
                    <w:left w:val="outset" w:sz="6" w:space="0" w:color="auto"/>
                    <w:bottom w:val="outset" w:sz="6" w:space="0" w:color="auto"/>
                    <w:right w:val="outset" w:sz="6" w:space="0" w:color="auto"/>
                  </w:tcBorders>
                  <w:hideMark/>
                </w:tcPr>
                <w:p w:rsidR="00BB1376" w:rsidRDefault="00BB1376">
                  <w:pPr>
                    <w:pStyle w:val="a3"/>
                    <w:rPr>
                      <w:color w:val="626262"/>
                      <w:sz w:val="20"/>
                      <w:szCs w:val="20"/>
                    </w:rPr>
                  </w:pPr>
                  <w:r>
                    <w:rPr>
                      <w:color w:val="626262"/>
                      <w:sz w:val="20"/>
                      <w:szCs w:val="20"/>
                    </w:rPr>
                    <w:t> </w:t>
                  </w:r>
                </w:p>
              </w:tc>
              <w:tc>
                <w:tcPr>
                  <w:tcW w:w="1000" w:type="pct"/>
                  <w:tcBorders>
                    <w:top w:val="outset" w:sz="6" w:space="0" w:color="auto"/>
                    <w:left w:val="outset" w:sz="6" w:space="0" w:color="auto"/>
                    <w:bottom w:val="outset" w:sz="6" w:space="0" w:color="auto"/>
                    <w:right w:val="outset" w:sz="6" w:space="0" w:color="auto"/>
                  </w:tcBorders>
                  <w:vAlign w:val="bottom"/>
                  <w:hideMark/>
                </w:tcPr>
                <w:p w:rsidR="00BB1376" w:rsidRDefault="00BB1376">
                  <w:pPr>
                    <w:pStyle w:val="a3"/>
                    <w:jc w:val="right"/>
                    <w:rPr>
                      <w:color w:val="626262"/>
                      <w:sz w:val="20"/>
                      <w:szCs w:val="20"/>
                    </w:rPr>
                  </w:pPr>
                  <w:r>
                    <w:rPr>
                      <w:color w:val="626262"/>
                      <w:sz w:val="20"/>
                      <w:szCs w:val="20"/>
                    </w:rPr>
                    <w:t>-</w:t>
                  </w:r>
                </w:p>
              </w:tc>
            </w:tr>
            <w:tr w:rsidR="00BB1376" w:rsidTr="00BB1376">
              <w:trPr>
                <w:tblCellSpacing w:w="0" w:type="dxa"/>
              </w:trPr>
              <w:tc>
                <w:tcPr>
                  <w:tcW w:w="4740" w:type="dxa"/>
                  <w:gridSpan w:val="3"/>
                  <w:tcBorders>
                    <w:top w:val="outset" w:sz="6" w:space="0" w:color="auto"/>
                    <w:left w:val="outset" w:sz="6" w:space="0" w:color="auto"/>
                    <w:bottom w:val="outset" w:sz="6" w:space="0" w:color="auto"/>
                    <w:right w:val="outset" w:sz="6" w:space="0" w:color="auto"/>
                  </w:tcBorders>
                  <w:hideMark/>
                </w:tcPr>
                <w:p w:rsidR="00BB1376" w:rsidRDefault="00BB1376">
                  <w:pPr>
                    <w:pStyle w:val="a3"/>
                    <w:rPr>
                      <w:color w:val="626262"/>
                      <w:sz w:val="20"/>
                      <w:szCs w:val="20"/>
                    </w:rPr>
                  </w:pPr>
                  <w:r>
                    <w:rPr>
                      <w:color w:val="626262"/>
                      <w:sz w:val="20"/>
                      <w:szCs w:val="20"/>
                    </w:rPr>
                    <w:t>Прибыль или убыток (прибыль от передачи)</w:t>
                  </w:r>
                </w:p>
              </w:tc>
              <w:tc>
                <w:tcPr>
                  <w:tcW w:w="1000" w:type="pct"/>
                  <w:tcBorders>
                    <w:top w:val="outset" w:sz="6" w:space="0" w:color="auto"/>
                    <w:left w:val="outset" w:sz="6" w:space="0" w:color="auto"/>
                    <w:bottom w:val="outset" w:sz="6" w:space="0" w:color="auto"/>
                    <w:right w:val="outset" w:sz="6" w:space="0" w:color="auto"/>
                  </w:tcBorders>
                  <w:vAlign w:val="bottom"/>
                  <w:hideMark/>
                </w:tcPr>
                <w:p w:rsidR="00BB1376" w:rsidRDefault="00BB1376">
                  <w:pPr>
                    <w:pStyle w:val="a3"/>
                    <w:jc w:val="right"/>
                    <w:rPr>
                      <w:color w:val="626262"/>
                      <w:sz w:val="20"/>
                      <w:szCs w:val="20"/>
                    </w:rPr>
                  </w:pPr>
                  <w:r>
                    <w:rPr>
                      <w:color w:val="626262"/>
                      <w:sz w:val="20"/>
                      <w:szCs w:val="20"/>
                    </w:rPr>
                    <w:t>-</w:t>
                  </w:r>
                </w:p>
              </w:tc>
              <w:tc>
                <w:tcPr>
                  <w:tcW w:w="250" w:type="pct"/>
                  <w:tcBorders>
                    <w:top w:val="outset" w:sz="6" w:space="0" w:color="auto"/>
                    <w:left w:val="outset" w:sz="6" w:space="0" w:color="auto"/>
                    <w:bottom w:val="outset" w:sz="6" w:space="0" w:color="auto"/>
                    <w:right w:val="outset" w:sz="6" w:space="0" w:color="auto"/>
                  </w:tcBorders>
                  <w:hideMark/>
                </w:tcPr>
                <w:p w:rsidR="00BB1376" w:rsidRDefault="00BB1376">
                  <w:pPr>
                    <w:pStyle w:val="a3"/>
                    <w:rPr>
                      <w:color w:val="626262"/>
                      <w:sz w:val="20"/>
                      <w:szCs w:val="20"/>
                    </w:rPr>
                  </w:pPr>
                  <w:r>
                    <w:rPr>
                      <w:color w:val="626262"/>
                      <w:sz w:val="20"/>
                      <w:szCs w:val="20"/>
                    </w:rPr>
                    <w:t> </w:t>
                  </w:r>
                </w:p>
              </w:tc>
              <w:tc>
                <w:tcPr>
                  <w:tcW w:w="1000" w:type="pct"/>
                  <w:tcBorders>
                    <w:top w:val="outset" w:sz="6" w:space="0" w:color="auto"/>
                    <w:left w:val="outset" w:sz="6" w:space="0" w:color="auto"/>
                    <w:bottom w:val="outset" w:sz="6" w:space="0" w:color="auto"/>
                    <w:right w:val="outset" w:sz="6" w:space="0" w:color="auto"/>
                  </w:tcBorders>
                  <w:vAlign w:val="bottom"/>
                  <w:hideMark/>
                </w:tcPr>
                <w:p w:rsidR="00BB1376" w:rsidRDefault="00BB1376">
                  <w:pPr>
                    <w:pStyle w:val="a3"/>
                    <w:jc w:val="right"/>
                    <w:rPr>
                      <w:color w:val="626262"/>
                      <w:sz w:val="20"/>
                      <w:szCs w:val="20"/>
                    </w:rPr>
                  </w:pPr>
                  <w:r>
                    <w:rPr>
                      <w:color w:val="626262"/>
                      <w:sz w:val="20"/>
                      <w:szCs w:val="20"/>
                    </w:rPr>
                    <w:t>90</w:t>
                  </w:r>
                </w:p>
              </w:tc>
            </w:tr>
            <w:tr w:rsidR="00BB1376" w:rsidTr="00BB1376">
              <w:trPr>
                <w:tblCellSpacing w:w="0" w:type="dxa"/>
              </w:trPr>
              <w:tc>
                <w:tcPr>
                  <w:tcW w:w="4740" w:type="dxa"/>
                  <w:gridSpan w:val="3"/>
                  <w:tcBorders>
                    <w:top w:val="outset" w:sz="6" w:space="0" w:color="auto"/>
                    <w:left w:val="outset" w:sz="6" w:space="0" w:color="auto"/>
                    <w:bottom w:val="outset" w:sz="6" w:space="0" w:color="auto"/>
                    <w:right w:val="outset" w:sz="6" w:space="0" w:color="auto"/>
                  </w:tcBorders>
                  <w:hideMark/>
                </w:tcPr>
                <w:p w:rsidR="00BB1376" w:rsidRDefault="00BB1376">
                  <w:pPr>
                    <w:pStyle w:val="a3"/>
                    <w:rPr>
                      <w:color w:val="626262"/>
                      <w:sz w:val="20"/>
                      <w:szCs w:val="20"/>
                    </w:rPr>
                  </w:pPr>
                  <w:r>
                    <w:rPr>
                      <w:color w:val="626262"/>
                      <w:sz w:val="20"/>
                      <w:szCs w:val="20"/>
                    </w:rPr>
                    <w:t>Обязательство</w:t>
                  </w:r>
                </w:p>
              </w:tc>
              <w:tc>
                <w:tcPr>
                  <w:tcW w:w="1000" w:type="pct"/>
                  <w:tcBorders>
                    <w:top w:val="outset" w:sz="6" w:space="0" w:color="auto"/>
                    <w:left w:val="outset" w:sz="6" w:space="0" w:color="auto"/>
                    <w:bottom w:val="outset" w:sz="6" w:space="0" w:color="auto"/>
                    <w:right w:val="outset" w:sz="6" w:space="0" w:color="auto"/>
                  </w:tcBorders>
                  <w:vAlign w:val="bottom"/>
                  <w:hideMark/>
                </w:tcPr>
                <w:p w:rsidR="00BB1376" w:rsidRDefault="00BB1376">
                  <w:pPr>
                    <w:pStyle w:val="a3"/>
                    <w:jc w:val="right"/>
                    <w:rPr>
                      <w:color w:val="626262"/>
                      <w:sz w:val="20"/>
                      <w:szCs w:val="20"/>
                    </w:rPr>
                  </w:pPr>
                  <w:r>
                    <w:rPr>
                      <w:color w:val="626262"/>
                      <w:sz w:val="20"/>
                      <w:szCs w:val="20"/>
                    </w:rPr>
                    <w:t>-</w:t>
                  </w:r>
                </w:p>
              </w:tc>
              <w:tc>
                <w:tcPr>
                  <w:tcW w:w="250" w:type="pct"/>
                  <w:tcBorders>
                    <w:top w:val="outset" w:sz="6" w:space="0" w:color="auto"/>
                    <w:left w:val="outset" w:sz="6" w:space="0" w:color="auto"/>
                    <w:bottom w:val="outset" w:sz="6" w:space="0" w:color="auto"/>
                    <w:right w:val="outset" w:sz="6" w:space="0" w:color="auto"/>
                  </w:tcBorders>
                  <w:hideMark/>
                </w:tcPr>
                <w:p w:rsidR="00BB1376" w:rsidRDefault="00BB1376">
                  <w:pPr>
                    <w:pStyle w:val="a3"/>
                    <w:rPr>
                      <w:color w:val="626262"/>
                      <w:sz w:val="20"/>
                      <w:szCs w:val="20"/>
                    </w:rPr>
                  </w:pPr>
                  <w:r>
                    <w:rPr>
                      <w:color w:val="626262"/>
                      <w:sz w:val="20"/>
                      <w:szCs w:val="20"/>
                    </w:rPr>
                    <w:t> </w:t>
                  </w:r>
                </w:p>
              </w:tc>
              <w:tc>
                <w:tcPr>
                  <w:tcW w:w="1000" w:type="pct"/>
                  <w:tcBorders>
                    <w:top w:val="outset" w:sz="6" w:space="0" w:color="auto"/>
                    <w:left w:val="outset" w:sz="6" w:space="0" w:color="auto"/>
                    <w:bottom w:val="outset" w:sz="6" w:space="0" w:color="auto"/>
                    <w:right w:val="outset" w:sz="6" w:space="0" w:color="auto"/>
                  </w:tcBorders>
                  <w:vAlign w:val="bottom"/>
                  <w:hideMark/>
                </w:tcPr>
                <w:p w:rsidR="00BB1376" w:rsidRDefault="00BB1376">
                  <w:pPr>
                    <w:pStyle w:val="a3"/>
                    <w:jc w:val="right"/>
                    <w:rPr>
                      <w:color w:val="626262"/>
                      <w:sz w:val="20"/>
                      <w:szCs w:val="20"/>
                    </w:rPr>
                  </w:pPr>
                  <w:r>
                    <w:rPr>
                      <w:color w:val="626262"/>
                      <w:sz w:val="20"/>
                      <w:szCs w:val="20"/>
                    </w:rPr>
                    <w:t>1 065</w:t>
                  </w:r>
                </w:p>
              </w:tc>
            </w:tr>
            <w:tr w:rsidR="00BB1376" w:rsidTr="00BB1376">
              <w:trPr>
                <w:tblCellSpacing w:w="0" w:type="dxa"/>
              </w:trPr>
              <w:tc>
                <w:tcPr>
                  <w:tcW w:w="4740" w:type="dxa"/>
                  <w:gridSpan w:val="3"/>
                  <w:tcBorders>
                    <w:top w:val="outset" w:sz="6" w:space="0" w:color="auto"/>
                    <w:left w:val="outset" w:sz="6" w:space="0" w:color="auto"/>
                    <w:bottom w:val="outset" w:sz="6" w:space="0" w:color="auto"/>
                    <w:right w:val="outset" w:sz="6" w:space="0" w:color="auto"/>
                  </w:tcBorders>
                  <w:hideMark/>
                </w:tcPr>
                <w:p w:rsidR="00BB1376" w:rsidRDefault="00BB1376">
                  <w:pPr>
                    <w:pStyle w:val="a3"/>
                    <w:rPr>
                      <w:color w:val="626262"/>
                      <w:sz w:val="20"/>
                      <w:szCs w:val="20"/>
                    </w:rPr>
                  </w:pPr>
                  <w:r>
                    <w:rPr>
                      <w:color w:val="626262"/>
                      <w:sz w:val="20"/>
                      <w:szCs w:val="20"/>
                    </w:rPr>
                    <w:t>Полученные денежные средства</w:t>
                  </w:r>
                </w:p>
              </w:tc>
              <w:tc>
                <w:tcPr>
                  <w:tcW w:w="1000" w:type="pct"/>
                  <w:tcBorders>
                    <w:top w:val="outset" w:sz="6" w:space="0" w:color="auto"/>
                    <w:left w:val="outset" w:sz="6" w:space="0" w:color="auto"/>
                    <w:bottom w:val="outset" w:sz="6" w:space="0" w:color="auto"/>
                    <w:right w:val="outset" w:sz="6" w:space="0" w:color="auto"/>
                  </w:tcBorders>
                  <w:vAlign w:val="bottom"/>
                  <w:hideMark/>
                </w:tcPr>
                <w:p w:rsidR="00BB1376" w:rsidRDefault="00BB1376">
                  <w:pPr>
                    <w:pStyle w:val="a3"/>
                    <w:jc w:val="right"/>
                    <w:rPr>
                      <w:color w:val="626262"/>
                      <w:sz w:val="20"/>
                      <w:szCs w:val="20"/>
                    </w:rPr>
                  </w:pPr>
                  <w:r>
                    <w:rPr>
                      <w:color w:val="626262"/>
                      <w:sz w:val="20"/>
                      <w:szCs w:val="20"/>
                    </w:rPr>
                    <w:t>9 115</w:t>
                  </w:r>
                </w:p>
              </w:tc>
              <w:tc>
                <w:tcPr>
                  <w:tcW w:w="250" w:type="pct"/>
                  <w:tcBorders>
                    <w:top w:val="outset" w:sz="6" w:space="0" w:color="auto"/>
                    <w:left w:val="outset" w:sz="6" w:space="0" w:color="auto"/>
                    <w:bottom w:val="outset" w:sz="6" w:space="0" w:color="auto"/>
                    <w:right w:val="outset" w:sz="6" w:space="0" w:color="auto"/>
                  </w:tcBorders>
                  <w:hideMark/>
                </w:tcPr>
                <w:p w:rsidR="00BB1376" w:rsidRDefault="00BB1376">
                  <w:pPr>
                    <w:pStyle w:val="a3"/>
                    <w:rPr>
                      <w:color w:val="626262"/>
                      <w:sz w:val="20"/>
                      <w:szCs w:val="20"/>
                    </w:rPr>
                  </w:pPr>
                  <w:r>
                    <w:rPr>
                      <w:color w:val="626262"/>
                      <w:sz w:val="20"/>
                      <w:szCs w:val="20"/>
                    </w:rPr>
                    <w:t> </w:t>
                  </w:r>
                </w:p>
              </w:tc>
              <w:tc>
                <w:tcPr>
                  <w:tcW w:w="1000" w:type="pct"/>
                  <w:tcBorders>
                    <w:top w:val="outset" w:sz="6" w:space="0" w:color="auto"/>
                    <w:left w:val="outset" w:sz="6" w:space="0" w:color="auto"/>
                    <w:bottom w:val="outset" w:sz="6" w:space="0" w:color="auto"/>
                    <w:right w:val="outset" w:sz="6" w:space="0" w:color="auto"/>
                  </w:tcBorders>
                  <w:vAlign w:val="bottom"/>
                  <w:hideMark/>
                </w:tcPr>
                <w:p w:rsidR="00BB1376" w:rsidRDefault="00BB1376">
                  <w:pPr>
                    <w:pStyle w:val="a3"/>
                    <w:jc w:val="right"/>
                    <w:rPr>
                      <w:color w:val="626262"/>
                      <w:sz w:val="20"/>
                      <w:szCs w:val="20"/>
                    </w:rPr>
                  </w:pPr>
                  <w:r>
                    <w:rPr>
                      <w:color w:val="626262"/>
                      <w:sz w:val="20"/>
                      <w:szCs w:val="20"/>
                    </w:rPr>
                    <w:t>-</w:t>
                  </w:r>
                </w:p>
              </w:tc>
            </w:tr>
            <w:tr w:rsidR="00BB1376" w:rsidTr="00BB1376">
              <w:trPr>
                <w:tblCellSpacing w:w="0" w:type="dxa"/>
              </w:trPr>
              <w:tc>
                <w:tcPr>
                  <w:tcW w:w="4740" w:type="dxa"/>
                  <w:gridSpan w:val="3"/>
                  <w:tcBorders>
                    <w:top w:val="outset" w:sz="6" w:space="0" w:color="auto"/>
                    <w:left w:val="outset" w:sz="6" w:space="0" w:color="auto"/>
                    <w:bottom w:val="outset" w:sz="6" w:space="0" w:color="auto"/>
                    <w:right w:val="outset" w:sz="6" w:space="0" w:color="auto"/>
                  </w:tcBorders>
                  <w:hideMark/>
                </w:tcPr>
                <w:p w:rsidR="00BB1376" w:rsidRDefault="00BB1376">
                  <w:pPr>
                    <w:pStyle w:val="a3"/>
                    <w:rPr>
                      <w:color w:val="626262"/>
                      <w:sz w:val="20"/>
                      <w:szCs w:val="20"/>
                    </w:rPr>
                  </w:pPr>
                  <w:r>
                    <w:rPr>
                      <w:rStyle w:val="a4"/>
                      <w:color w:val="626262"/>
                      <w:sz w:val="20"/>
                      <w:szCs w:val="20"/>
                    </w:rPr>
                    <w:t>Всего</w:t>
                  </w:r>
                </w:p>
              </w:tc>
              <w:tc>
                <w:tcPr>
                  <w:tcW w:w="1000" w:type="pct"/>
                  <w:tcBorders>
                    <w:top w:val="outset" w:sz="6" w:space="0" w:color="auto"/>
                    <w:left w:val="outset" w:sz="6" w:space="0" w:color="auto"/>
                    <w:bottom w:val="outset" w:sz="6" w:space="0" w:color="auto"/>
                    <w:right w:val="outset" w:sz="6" w:space="0" w:color="auto"/>
                  </w:tcBorders>
                  <w:vAlign w:val="bottom"/>
                  <w:hideMark/>
                </w:tcPr>
                <w:p w:rsidR="00BB1376" w:rsidRDefault="00BB1376">
                  <w:pPr>
                    <w:pStyle w:val="a3"/>
                    <w:jc w:val="right"/>
                    <w:rPr>
                      <w:color w:val="626262"/>
                      <w:sz w:val="20"/>
                      <w:szCs w:val="20"/>
                    </w:rPr>
                  </w:pPr>
                  <w:r>
                    <w:rPr>
                      <w:rStyle w:val="a4"/>
                      <w:color w:val="626262"/>
                      <w:sz w:val="20"/>
                      <w:szCs w:val="20"/>
                    </w:rPr>
                    <w:t>10</w:t>
                  </w:r>
                  <w:r>
                    <w:rPr>
                      <w:rStyle w:val="apple-converted-space"/>
                      <w:b/>
                      <w:bCs/>
                      <w:color w:val="626262"/>
                      <w:sz w:val="20"/>
                      <w:szCs w:val="20"/>
                    </w:rPr>
                    <w:t> </w:t>
                  </w:r>
                  <w:r>
                    <w:rPr>
                      <w:rStyle w:val="a4"/>
                      <w:color w:val="626262"/>
                      <w:sz w:val="20"/>
                      <w:szCs w:val="20"/>
                    </w:rPr>
                    <w:t>155</w:t>
                  </w:r>
                </w:p>
              </w:tc>
              <w:tc>
                <w:tcPr>
                  <w:tcW w:w="250" w:type="pct"/>
                  <w:tcBorders>
                    <w:top w:val="outset" w:sz="6" w:space="0" w:color="auto"/>
                    <w:left w:val="outset" w:sz="6" w:space="0" w:color="auto"/>
                    <w:bottom w:val="outset" w:sz="6" w:space="0" w:color="auto"/>
                    <w:right w:val="outset" w:sz="6" w:space="0" w:color="auto"/>
                  </w:tcBorders>
                  <w:hideMark/>
                </w:tcPr>
                <w:p w:rsidR="00BB1376" w:rsidRDefault="00BB1376">
                  <w:pPr>
                    <w:pStyle w:val="a3"/>
                    <w:rPr>
                      <w:color w:val="626262"/>
                      <w:sz w:val="20"/>
                      <w:szCs w:val="20"/>
                    </w:rPr>
                  </w:pPr>
                  <w:r>
                    <w:rPr>
                      <w:color w:val="626262"/>
                      <w:sz w:val="20"/>
                      <w:szCs w:val="20"/>
                    </w:rPr>
                    <w:t> </w:t>
                  </w:r>
                </w:p>
              </w:tc>
              <w:tc>
                <w:tcPr>
                  <w:tcW w:w="1000" w:type="pct"/>
                  <w:tcBorders>
                    <w:top w:val="outset" w:sz="6" w:space="0" w:color="auto"/>
                    <w:left w:val="outset" w:sz="6" w:space="0" w:color="auto"/>
                    <w:bottom w:val="outset" w:sz="6" w:space="0" w:color="auto"/>
                    <w:right w:val="outset" w:sz="6" w:space="0" w:color="auto"/>
                  </w:tcBorders>
                  <w:vAlign w:val="bottom"/>
                  <w:hideMark/>
                </w:tcPr>
                <w:p w:rsidR="00BB1376" w:rsidRDefault="00BB1376">
                  <w:pPr>
                    <w:pStyle w:val="a3"/>
                    <w:jc w:val="right"/>
                    <w:rPr>
                      <w:color w:val="626262"/>
                      <w:sz w:val="20"/>
                      <w:szCs w:val="20"/>
                    </w:rPr>
                  </w:pPr>
                  <w:r>
                    <w:rPr>
                      <w:rStyle w:val="a4"/>
                      <w:color w:val="626262"/>
                      <w:sz w:val="20"/>
                      <w:szCs w:val="20"/>
                    </w:rPr>
                    <w:t>10</w:t>
                  </w:r>
                  <w:r>
                    <w:rPr>
                      <w:rStyle w:val="apple-converted-space"/>
                      <w:b/>
                      <w:bCs/>
                      <w:color w:val="626262"/>
                      <w:sz w:val="20"/>
                      <w:szCs w:val="20"/>
                    </w:rPr>
                    <w:t> </w:t>
                  </w:r>
                  <w:r>
                    <w:rPr>
                      <w:rStyle w:val="a4"/>
                      <w:color w:val="626262"/>
                      <w:sz w:val="20"/>
                      <w:szCs w:val="20"/>
                    </w:rPr>
                    <w:t>155</w:t>
                  </w:r>
                </w:p>
              </w:tc>
            </w:tr>
            <w:tr w:rsidR="00BB1376" w:rsidTr="00BB1376">
              <w:trPr>
                <w:tblCellSpacing w:w="0" w:type="dxa"/>
              </w:trPr>
              <w:tc>
                <w:tcPr>
                  <w:tcW w:w="6465" w:type="dxa"/>
                  <w:gridSpan w:val="4"/>
                  <w:tcBorders>
                    <w:top w:val="outset" w:sz="6" w:space="0" w:color="auto"/>
                    <w:left w:val="outset" w:sz="6" w:space="0" w:color="auto"/>
                    <w:bottom w:val="outset" w:sz="6" w:space="0" w:color="auto"/>
                    <w:right w:val="outset" w:sz="6" w:space="0" w:color="auto"/>
                  </w:tcBorders>
                  <w:hideMark/>
                </w:tcPr>
                <w:p w:rsidR="00BB1376" w:rsidRDefault="00BB1376">
                  <w:pPr>
                    <w:pStyle w:val="a3"/>
                    <w:rPr>
                      <w:color w:val="626262"/>
                      <w:sz w:val="20"/>
                      <w:szCs w:val="20"/>
                    </w:rPr>
                  </w:pPr>
                  <w:r>
                    <w:rPr>
                      <w:color w:val="626262"/>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BB1376" w:rsidRDefault="00BB1376">
                  <w:pPr>
                    <w:pStyle w:val="a3"/>
                    <w:rPr>
                      <w:color w:val="626262"/>
                      <w:sz w:val="20"/>
                      <w:szCs w:val="20"/>
                    </w:rPr>
                  </w:pPr>
                  <w:r>
                    <w:rPr>
                      <w:color w:val="626262"/>
                      <w:sz w:val="20"/>
                      <w:szCs w:val="20"/>
                    </w:rPr>
                    <w:t> </w:t>
                  </w:r>
                </w:p>
              </w:tc>
              <w:tc>
                <w:tcPr>
                  <w:tcW w:w="1000" w:type="pct"/>
                  <w:tcBorders>
                    <w:top w:val="outset" w:sz="6" w:space="0" w:color="auto"/>
                    <w:left w:val="outset" w:sz="6" w:space="0" w:color="auto"/>
                    <w:bottom w:val="outset" w:sz="6" w:space="0" w:color="auto"/>
                    <w:right w:val="outset" w:sz="6" w:space="0" w:color="auto"/>
                  </w:tcBorders>
                  <w:vAlign w:val="bottom"/>
                  <w:hideMark/>
                </w:tcPr>
                <w:p w:rsidR="00BB1376" w:rsidRDefault="00BB1376">
                  <w:pPr>
                    <w:pStyle w:val="a3"/>
                    <w:jc w:val="right"/>
                    <w:rPr>
                      <w:color w:val="626262"/>
                      <w:sz w:val="20"/>
                      <w:szCs w:val="20"/>
                    </w:rPr>
                  </w:pPr>
                  <w:r>
                    <w:rPr>
                      <w:color w:val="626262"/>
                      <w:sz w:val="20"/>
                      <w:szCs w:val="20"/>
                    </w:rPr>
                    <w:t> </w:t>
                  </w:r>
                </w:p>
              </w:tc>
            </w:tr>
            <w:tr w:rsidR="00BB1376" w:rsidTr="00BB1376">
              <w:trPr>
                <w:tblCellSpacing w:w="0" w:type="dxa"/>
              </w:trPr>
              <w:tc>
                <w:tcPr>
                  <w:tcW w:w="8640" w:type="dxa"/>
                  <w:gridSpan w:val="6"/>
                  <w:tcBorders>
                    <w:top w:val="outset" w:sz="6" w:space="0" w:color="auto"/>
                    <w:left w:val="outset" w:sz="6" w:space="0" w:color="auto"/>
                    <w:bottom w:val="outset" w:sz="6" w:space="0" w:color="auto"/>
                    <w:right w:val="outset" w:sz="6" w:space="0" w:color="auto"/>
                  </w:tcBorders>
                  <w:hideMark/>
                </w:tcPr>
                <w:p w:rsidR="00BB1376" w:rsidRDefault="00BB1376">
                  <w:pPr>
                    <w:pStyle w:val="a3"/>
                    <w:rPr>
                      <w:color w:val="626262"/>
                      <w:sz w:val="20"/>
                      <w:szCs w:val="20"/>
                    </w:rPr>
                  </w:pPr>
                  <w:r>
                    <w:rPr>
                      <w:color w:val="626262"/>
                      <w:sz w:val="20"/>
                      <w:szCs w:val="20"/>
                    </w:rPr>
                    <w:t>Сразу после операции балансовая стоимость актива равна 2 040 д.е., включая 1 000 д.е., которые представляют собой распределенную стоимость сохранившейся части, и 1 040 д.е., которые представляют дополнительное продолжающееся участие предприятия в результате субординирования сохранившейся доли участия в отношении кредитных потерь (которые включают дополнительный спрэд в размере 40 д.е.).</w:t>
                  </w:r>
                </w:p>
                <w:p w:rsidR="00BB1376" w:rsidRDefault="00BB1376">
                  <w:pPr>
                    <w:pStyle w:val="a3"/>
                    <w:rPr>
                      <w:color w:val="626262"/>
                      <w:sz w:val="20"/>
                      <w:szCs w:val="20"/>
                    </w:rPr>
                  </w:pPr>
                  <w:r>
                    <w:rPr>
                      <w:color w:val="626262"/>
                      <w:sz w:val="20"/>
                      <w:szCs w:val="20"/>
                    </w:rPr>
                    <w:t>В последующие периоды предприятие признает полученное возмещение за повышение качества кредита (65 д.е.) на пропорциональной временной основе, начисляет проценты на признанный актив по методу эффективной ставки процента и признает обесценение кредита по признанным активам. В качестве примера последнего предположим, что в следующем году возникает убыток от обесценения по исходным займам в размере 300 д.е. Предприятие уменьшает свой признанный актив на 600 д.е. (300 д.е., относящиеся к его сохранившейся доле участия, и 300 д.е., относящиеся к дополнительному продолжающемуся участию, которое возникает в результате субординирования сохранившейся доли участия в отношении кредитных потерь) и уменьшает свое признанное обязательство на 300 д.е. Чистым результатом является то, что обесценение кредита в размере 300 д.е. относится на прибыль или убыток.</w:t>
                  </w:r>
                </w:p>
              </w:tc>
            </w:tr>
          </w:tbl>
          <w:p w:rsidR="00BB1376" w:rsidRDefault="00BB1376" w:rsidP="00BB1376">
            <w:pPr>
              <w:pStyle w:val="a3"/>
              <w:jc w:val="both"/>
              <w:rPr>
                <w:color w:val="626262"/>
                <w:sz w:val="20"/>
                <w:szCs w:val="20"/>
              </w:rPr>
            </w:pPr>
            <w:r>
              <w:rPr>
                <w:color w:val="626262"/>
                <w:sz w:val="20"/>
                <w:szCs w:val="20"/>
              </w:rPr>
              <w:t> </w:t>
            </w:r>
          </w:p>
          <w:p w:rsidR="00BB1376" w:rsidRDefault="00BB1376" w:rsidP="00BB1376">
            <w:pPr>
              <w:pStyle w:val="a3"/>
              <w:jc w:val="both"/>
              <w:rPr>
                <w:color w:val="626262"/>
                <w:sz w:val="20"/>
                <w:szCs w:val="20"/>
              </w:rPr>
            </w:pPr>
            <w:r>
              <w:rPr>
                <w:rStyle w:val="a4"/>
                <w:color w:val="626262"/>
                <w:sz w:val="20"/>
                <w:szCs w:val="20"/>
              </w:rPr>
              <w:t>Стандартная процедура покупки или продажи финансового актива (параграф 38)</w:t>
            </w:r>
          </w:p>
          <w:p w:rsidR="00BB1376" w:rsidRDefault="00BB1376" w:rsidP="00BB1376">
            <w:pPr>
              <w:pStyle w:val="a3"/>
              <w:jc w:val="both"/>
              <w:rPr>
                <w:color w:val="626262"/>
                <w:sz w:val="20"/>
                <w:szCs w:val="20"/>
              </w:rPr>
            </w:pPr>
            <w:r>
              <w:rPr>
                <w:color w:val="626262"/>
                <w:sz w:val="20"/>
                <w:szCs w:val="20"/>
              </w:rPr>
              <w:t>AG53     Стандартная процедура покупки или продажи финансовых активов признается с использованием метода учета по дате сделки или метода учета по дате расчетов, описанных в параграфах AG55 и AG56. Используемый метод должен применяться последовательно для всех операций покупки и продажи финансовых активов, принадлежащих к одной категории финансовых активов, из определенных в параграфе 9. Для этих целей активы, предназначенные для торговли, составляют отдельную категорию от активов, учтенных по справедливой стоимости через прибыль и убыток.</w:t>
            </w:r>
          </w:p>
          <w:p w:rsidR="00BB1376" w:rsidRDefault="00BB1376" w:rsidP="00BB1376">
            <w:pPr>
              <w:pStyle w:val="a3"/>
              <w:jc w:val="both"/>
              <w:rPr>
                <w:color w:val="626262"/>
                <w:sz w:val="20"/>
                <w:szCs w:val="20"/>
              </w:rPr>
            </w:pPr>
            <w:r>
              <w:rPr>
                <w:color w:val="626262"/>
                <w:sz w:val="20"/>
                <w:szCs w:val="20"/>
              </w:rPr>
              <w:t>AG54     Договор, требующий или разрешающий нетто-расчет по изменению стоимости договора, не является стандартным договором. Вместо этого такой договор учитывается как производный инструмент в течение периода между датой заключения сделки и датой расчетов.</w:t>
            </w:r>
          </w:p>
          <w:p w:rsidR="00BB1376" w:rsidRDefault="00BB1376" w:rsidP="00BB1376">
            <w:pPr>
              <w:pStyle w:val="a3"/>
              <w:jc w:val="both"/>
              <w:rPr>
                <w:color w:val="626262"/>
                <w:sz w:val="20"/>
                <w:szCs w:val="20"/>
              </w:rPr>
            </w:pPr>
            <w:r>
              <w:rPr>
                <w:color w:val="626262"/>
                <w:sz w:val="20"/>
                <w:szCs w:val="20"/>
              </w:rPr>
              <w:t>AG55     Дата заключения сделки - дата, когда предприятие принимает на себя обязательство купить или продать актив. Учет на дату заключения сделки предусматривает (a) признание актива, подлежащего получению, и обязательства по его оплате в день заключения сделки, (b) прекращение признания актива, который продан, признание прибыли или убытка от выбытия и признание дебиторской задолженности покупателя на день заключения сделки. Как правило, начисление процентов по активу и соответствующему обязательству начинается не ранее даты расчетов, когда переходит право собственности.</w:t>
            </w:r>
          </w:p>
          <w:p w:rsidR="00BB1376" w:rsidRDefault="00BB1376" w:rsidP="00BB1376">
            <w:pPr>
              <w:pStyle w:val="a3"/>
              <w:jc w:val="both"/>
              <w:rPr>
                <w:color w:val="626262"/>
                <w:sz w:val="20"/>
                <w:szCs w:val="20"/>
              </w:rPr>
            </w:pPr>
            <w:r>
              <w:rPr>
                <w:color w:val="626262"/>
                <w:sz w:val="20"/>
                <w:szCs w:val="20"/>
              </w:rPr>
              <w:t xml:space="preserve">AG56     Дата расчетов - дата осуществления поставки актива предприятию или предприятием. Учет на дату </w:t>
            </w:r>
            <w:r>
              <w:rPr>
                <w:color w:val="626262"/>
                <w:sz w:val="20"/>
                <w:szCs w:val="20"/>
              </w:rPr>
              <w:lastRenderedPageBreak/>
              <w:t>расчетов предусматривает (a) признание актива в день его получения предприятием, (b) прекращение признания актива и признания прибыли или убытка от выбытия на дату его поставки предприятием. При учете на дату расчетов предприятие учитывает изменение справедливой стоимости актива, подлежащего получению в период между датой заключения сделки и датой расчетов, так же, как оно учитывает изменение стоимости приобретенного актива. Другими словами, изменение стоимости не признается по активам, учитываемым по фактическим затратам или по амортизируемой стоимости; оно включается в прибыль или убыток по активам, классифицируемым как финансовые активы, учтенные по справедливой стоимости через прибыль или убыток; оно признается в собственном капитале по активам, отнесенным в категорию «имеющиеся в наличии для продажи».</w:t>
            </w:r>
          </w:p>
          <w:p w:rsidR="00BB1376" w:rsidRDefault="00BB1376" w:rsidP="00BB1376">
            <w:pPr>
              <w:pStyle w:val="a3"/>
              <w:jc w:val="both"/>
              <w:rPr>
                <w:color w:val="626262"/>
                <w:sz w:val="20"/>
                <w:szCs w:val="20"/>
              </w:rPr>
            </w:pPr>
            <w:r>
              <w:rPr>
                <w:color w:val="626262"/>
                <w:sz w:val="20"/>
                <w:szCs w:val="20"/>
              </w:rPr>
              <w:t> </w:t>
            </w:r>
          </w:p>
          <w:p w:rsidR="00BB1376" w:rsidRDefault="00BB1376" w:rsidP="00BB1376">
            <w:pPr>
              <w:pStyle w:val="a3"/>
              <w:jc w:val="both"/>
              <w:rPr>
                <w:color w:val="626262"/>
                <w:sz w:val="20"/>
                <w:szCs w:val="20"/>
              </w:rPr>
            </w:pPr>
            <w:r>
              <w:rPr>
                <w:rStyle w:val="a4"/>
                <w:color w:val="626262"/>
                <w:sz w:val="20"/>
                <w:szCs w:val="20"/>
              </w:rPr>
              <w:t>Прекращение признания финансового обязательства (параграфы 39-42)</w:t>
            </w:r>
          </w:p>
          <w:p w:rsidR="00BB1376" w:rsidRDefault="00BB1376" w:rsidP="00BB1376">
            <w:pPr>
              <w:pStyle w:val="a3"/>
              <w:jc w:val="both"/>
              <w:rPr>
                <w:color w:val="626262"/>
                <w:sz w:val="20"/>
                <w:szCs w:val="20"/>
              </w:rPr>
            </w:pPr>
            <w:r>
              <w:rPr>
                <w:color w:val="626262"/>
                <w:sz w:val="20"/>
                <w:szCs w:val="20"/>
              </w:rPr>
              <w:t>AG57     Финансовое обязательство (или его часть) погашается, когда должник:</w:t>
            </w:r>
          </w:p>
          <w:p w:rsidR="00BB1376" w:rsidRDefault="00BB1376" w:rsidP="00BB1376">
            <w:pPr>
              <w:pStyle w:val="a3"/>
              <w:jc w:val="both"/>
              <w:rPr>
                <w:color w:val="626262"/>
                <w:sz w:val="20"/>
                <w:szCs w:val="20"/>
              </w:rPr>
            </w:pPr>
            <w:r>
              <w:rPr>
                <w:color w:val="626262"/>
                <w:sz w:val="20"/>
                <w:szCs w:val="20"/>
              </w:rPr>
              <w:t>(а)           исполняет обязательство (или его часть), расплачиваясь с кредитором, как правило, денежными средствами, другими финансовыми активами, товарами или услугами; или</w:t>
            </w:r>
          </w:p>
          <w:p w:rsidR="00BB1376" w:rsidRDefault="00BB1376" w:rsidP="00BB1376">
            <w:pPr>
              <w:pStyle w:val="a3"/>
              <w:jc w:val="both"/>
              <w:rPr>
                <w:color w:val="626262"/>
                <w:sz w:val="20"/>
                <w:szCs w:val="20"/>
              </w:rPr>
            </w:pPr>
            <w:r>
              <w:rPr>
                <w:color w:val="626262"/>
                <w:sz w:val="20"/>
                <w:szCs w:val="20"/>
              </w:rPr>
              <w:t>(b)           на законных основаниях освобожден от первичной ответственности по обязательству (или его части) либо в судебном порядке, либо самим кредитором. (Если должник дал гарантию, данное условие все равно может выполняться.)</w:t>
            </w:r>
          </w:p>
          <w:p w:rsidR="00BB1376" w:rsidRDefault="00BB1376" w:rsidP="00BB1376">
            <w:pPr>
              <w:pStyle w:val="a3"/>
              <w:jc w:val="both"/>
              <w:rPr>
                <w:color w:val="626262"/>
                <w:sz w:val="20"/>
                <w:szCs w:val="20"/>
              </w:rPr>
            </w:pPr>
            <w:r>
              <w:rPr>
                <w:color w:val="626262"/>
                <w:sz w:val="20"/>
                <w:szCs w:val="20"/>
              </w:rPr>
              <w:t>AG58     Если эмитент долгового инструмента приобретает инструмент обратно, то долг погашается даже в том случае, если эмитент является маркет-мейкером по данному инструменту или собирается перепродать его в ближайшем будущем.</w:t>
            </w:r>
          </w:p>
          <w:p w:rsidR="00BB1376" w:rsidRDefault="00BB1376" w:rsidP="00BB1376">
            <w:pPr>
              <w:pStyle w:val="a3"/>
              <w:jc w:val="both"/>
              <w:rPr>
                <w:color w:val="626262"/>
                <w:sz w:val="20"/>
                <w:szCs w:val="20"/>
              </w:rPr>
            </w:pPr>
            <w:r>
              <w:rPr>
                <w:color w:val="626262"/>
                <w:sz w:val="20"/>
                <w:szCs w:val="20"/>
              </w:rPr>
              <w:t>AG59     Осуществление выплаты третьей стороне, в том числе трасту (иногда именуемое «по существу аннулирование»), само по себе не освобождает должника от исполнения первичного обязательства перед кредитором при отсутствии юридического освобождения.</w:t>
            </w:r>
          </w:p>
          <w:p w:rsidR="00BB1376" w:rsidRDefault="00BB1376" w:rsidP="00BB1376">
            <w:pPr>
              <w:pStyle w:val="a3"/>
              <w:jc w:val="both"/>
              <w:rPr>
                <w:color w:val="626262"/>
                <w:sz w:val="20"/>
                <w:szCs w:val="20"/>
              </w:rPr>
            </w:pPr>
            <w:r>
              <w:rPr>
                <w:color w:val="626262"/>
                <w:sz w:val="20"/>
                <w:szCs w:val="20"/>
              </w:rPr>
              <w:t>AG60     Если должник платит третьей стороне, чтобы она приняла на себя обязательство, и сообщает своему кредитору, что третья сторона приняла на себя его долговое обязательство, то он не прекращает признавать долговое обязательство, за исключением тех случаев, когда выполняется условие, содержащееся в параграфе AG57(b). Должник погашает долг, если платит третьей стороне, чтобы она приняла на себя обязательство, и получает юридическое освобождение от своего кредитора. Однако если должник соглашается осуществлять выплаты по задолженности третьей стороне или направлять их своему первоначальному кредитору, то он признает новое долговое обязательство перед третьей стороной.</w:t>
            </w:r>
          </w:p>
          <w:p w:rsidR="00BB1376" w:rsidRDefault="00BB1376" w:rsidP="00BB1376">
            <w:pPr>
              <w:pStyle w:val="a3"/>
              <w:jc w:val="both"/>
              <w:rPr>
                <w:color w:val="626262"/>
                <w:sz w:val="20"/>
                <w:szCs w:val="20"/>
              </w:rPr>
            </w:pPr>
            <w:r>
              <w:rPr>
                <w:color w:val="626262"/>
                <w:sz w:val="20"/>
                <w:szCs w:val="20"/>
              </w:rPr>
              <w:t>AG61     Даже если признание обязательства прекращается в результате законного освобождения, полученного в судебном порядке или предоставленного кредитором, предприятие может признать новое обязательство в случае, если не удовлетворяются установленные в параграфах 15-37 критерии прекращения признания переданных финансовых активов. Если эти критерии не удовлетворяются, то предприятие не прекращает признавать переданные активы, при этом оно признает новое обязательство в отношении переданных активов.</w:t>
            </w:r>
          </w:p>
          <w:p w:rsidR="00BB1376" w:rsidRDefault="00BB1376" w:rsidP="00BB1376">
            <w:pPr>
              <w:pStyle w:val="a3"/>
              <w:jc w:val="both"/>
              <w:rPr>
                <w:color w:val="626262"/>
                <w:sz w:val="20"/>
                <w:szCs w:val="20"/>
              </w:rPr>
            </w:pPr>
            <w:r>
              <w:rPr>
                <w:color w:val="626262"/>
                <w:sz w:val="20"/>
                <w:szCs w:val="20"/>
              </w:rPr>
              <w:t>AG62     Для целей параграфа 40 условия отличаются существенно, если дисконтированная приведенная стоимость денежных потоков в соответствии с новыми условиями, включая все уплаченные комиссионные, за вычетом полученных комиссионных, при дисконтировании с применением первоначальной эффективной ставки процента, по крайней мере, на 10% отличается от дисконтированной приведенной стоимости оставшихся потоков денежных средств по первоначальному финансовому обязательству. Если обмен долговыми инструментами или изменение условий учитывается как погашение долга, то понесенные затраты или комиссионные признаются частью дохода или убытка от погашения долга. В случае, если обмен финансовыми инструментами или изменение условий не учитываются как погашение долга, то балансовая стоимость обязательства корректируется на сумму понесенных затрат или уплаченных комиссионных, которые амортизируются в течение оставшегося срока обязательства с измененными условиями.</w:t>
            </w:r>
          </w:p>
          <w:p w:rsidR="00BB1376" w:rsidRDefault="00BB1376" w:rsidP="00BB1376">
            <w:pPr>
              <w:pStyle w:val="a3"/>
              <w:jc w:val="both"/>
              <w:rPr>
                <w:color w:val="626262"/>
                <w:sz w:val="20"/>
                <w:szCs w:val="20"/>
              </w:rPr>
            </w:pPr>
            <w:r>
              <w:rPr>
                <w:color w:val="626262"/>
                <w:sz w:val="20"/>
                <w:szCs w:val="20"/>
              </w:rPr>
              <w:t xml:space="preserve">AG63     В некоторых случаях кредитор освобождает должника от существующего обязательства по осуществлению выплат, при этом должник принимает на себя гарантийное обязательство произвести оплату </w:t>
            </w:r>
            <w:r>
              <w:rPr>
                <w:color w:val="626262"/>
                <w:sz w:val="20"/>
                <w:szCs w:val="20"/>
              </w:rPr>
              <w:lastRenderedPageBreak/>
              <w:t>в случае неисполнения обязательств стороной, взявшей на себя первичную ответственность. В этом случае должник:</w:t>
            </w:r>
          </w:p>
          <w:p w:rsidR="00BB1376" w:rsidRDefault="00BB1376" w:rsidP="00BB1376">
            <w:pPr>
              <w:pStyle w:val="a3"/>
              <w:jc w:val="both"/>
              <w:rPr>
                <w:color w:val="626262"/>
                <w:sz w:val="20"/>
                <w:szCs w:val="20"/>
              </w:rPr>
            </w:pPr>
            <w:r>
              <w:rPr>
                <w:color w:val="626262"/>
                <w:sz w:val="20"/>
                <w:szCs w:val="20"/>
              </w:rPr>
              <w:t>(а)           признает новое финансовое обязательство, основанное на справедливой стоимости обязательства по гарантии</w:t>
            </w:r>
          </w:p>
          <w:p w:rsidR="00BB1376" w:rsidRDefault="00BB1376" w:rsidP="00BB1376">
            <w:pPr>
              <w:pStyle w:val="a3"/>
              <w:jc w:val="both"/>
              <w:rPr>
                <w:color w:val="626262"/>
                <w:sz w:val="20"/>
                <w:szCs w:val="20"/>
              </w:rPr>
            </w:pPr>
            <w:r>
              <w:rPr>
                <w:color w:val="626262"/>
                <w:sz w:val="20"/>
                <w:szCs w:val="20"/>
              </w:rPr>
              <w:t>(b)           признает доход или убыток на основе разницы между (i) уплаченной суммой и (ii) балансовой стоимостью первоначального финансового обязательства, за вычетом справедливой стоимости нового финансового обязательства.</w:t>
            </w:r>
          </w:p>
          <w:p w:rsidR="00BB1376" w:rsidRDefault="00BB1376" w:rsidP="00BB1376">
            <w:pPr>
              <w:pStyle w:val="a3"/>
              <w:jc w:val="both"/>
              <w:rPr>
                <w:color w:val="626262"/>
                <w:sz w:val="20"/>
                <w:szCs w:val="20"/>
              </w:rPr>
            </w:pPr>
            <w:r>
              <w:rPr>
                <w:color w:val="626262"/>
                <w:sz w:val="20"/>
                <w:szCs w:val="20"/>
              </w:rPr>
              <w:t> </w:t>
            </w:r>
          </w:p>
          <w:p w:rsidR="00BB1376" w:rsidRDefault="00BB1376" w:rsidP="00BB1376">
            <w:pPr>
              <w:pStyle w:val="a3"/>
              <w:jc w:val="both"/>
              <w:rPr>
                <w:color w:val="626262"/>
                <w:sz w:val="20"/>
                <w:szCs w:val="20"/>
              </w:rPr>
            </w:pPr>
            <w:r>
              <w:rPr>
                <w:rStyle w:val="a4"/>
                <w:color w:val="626262"/>
                <w:sz w:val="20"/>
                <w:szCs w:val="20"/>
              </w:rPr>
              <w:t>Измерение (параграфы 43-70)</w:t>
            </w:r>
          </w:p>
          <w:p w:rsidR="00BB1376" w:rsidRDefault="00BB1376" w:rsidP="00BB1376">
            <w:pPr>
              <w:pStyle w:val="a3"/>
              <w:jc w:val="both"/>
              <w:rPr>
                <w:color w:val="626262"/>
                <w:sz w:val="20"/>
                <w:szCs w:val="20"/>
              </w:rPr>
            </w:pPr>
            <w:r>
              <w:rPr>
                <w:rStyle w:val="a4"/>
                <w:color w:val="626262"/>
                <w:sz w:val="20"/>
                <w:szCs w:val="20"/>
              </w:rPr>
              <w:t>Первоначальное измерение финансовых активов и финансовых обязательств (параграф 43)</w:t>
            </w:r>
          </w:p>
          <w:p w:rsidR="00BB1376" w:rsidRDefault="00BB1376" w:rsidP="00BB1376">
            <w:pPr>
              <w:pStyle w:val="a3"/>
              <w:jc w:val="both"/>
              <w:rPr>
                <w:color w:val="626262"/>
                <w:sz w:val="20"/>
                <w:szCs w:val="20"/>
              </w:rPr>
            </w:pPr>
            <w:r>
              <w:rPr>
                <w:color w:val="626262"/>
                <w:sz w:val="20"/>
                <w:szCs w:val="20"/>
              </w:rPr>
              <w:t>AG64     Справедливой стоимостью финансового инструмента при первоначальном признании обычно является цена операции (т.е. справедливая стоимость возмещения, переданного или полученного; также см. параграф AG76). Однако если часть возмещения, переданного или полученного, относится не к финансовому инструменту, а к чему-либо другому, то справедливая стоимость финансового инструмента рассчитывается с применением метода оценки (см. параграфы AG74-AG79). Например, справедливая стоимость долгосрочного займа или дебиторской задолженности, по которым не предусмотрены проценты, может быть рассчитана как приведенная стоимость всех будущих денежных поступлений, дисконтированных с использованием преобладающей рыночной ставки (ставок) процента для аналогичного инструмента (аналогичного в отношении валюты, срока, типа процентной ставки и других факторов) с аналогичным кредитным рейтингом. Сумма, предоставленная взаймы сверх этой справедливой стоимости, является расходом или уменьшением дохода за исключением случаев, когда она подлежит признанию как какой-либо другой вид актива.</w:t>
            </w:r>
          </w:p>
          <w:p w:rsidR="00BB1376" w:rsidRDefault="00BB1376" w:rsidP="00BB1376">
            <w:pPr>
              <w:pStyle w:val="a3"/>
              <w:jc w:val="both"/>
              <w:rPr>
                <w:color w:val="626262"/>
                <w:sz w:val="20"/>
                <w:szCs w:val="20"/>
              </w:rPr>
            </w:pPr>
            <w:r>
              <w:rPr>
                <w:color w:val="626262"/>
                <w:sz w:val="20"/>
                <w:szCs w:val="20"/>
              </w:rPr>
              <w:t>AG65     Если предприятие предоставляет заем, имеющий нерыночную ставку процента (например, 5 процентов в то время, как рыночная ставка по аналогичным займам равна 8 процентам), и получает в качестве компенсации авансовое вознаграждение, то оно признает заем по справедливой стоимости, т.е. за вычетом полученного возмещения. Предприятие относит дисконт на прибыль или убыток с использованием метода эффективной ставки процента.</w:t>
            </w:r>
          </w:p>
          <w:p w:rsidR="00BB1376" w:rsidRDefault="00BB1376" w:rsidP="00BB1376">
            <w:pPr>
              <w:pStyle w:val="a3"/>
              <w:jc w:val="both"/>
              <w:rPr>
                <w:color w:val="626262"/>
                <w:sz w:val="20"/>
                <w:szCs w:val="20"/>
              </w:rPr>
            </w:pPr>
            <w:r>
              <w:rPr>
                <w:color w:val="626262"/>
                <w:sz w:val="20"/>
                <w:szCs w:val="20"/>
              </w:rPr>
              <w:t> </w:t>
            </w:r>
          </w:p>
          <w:p w:rsidR="00BB1376" w:rsidRDefault="00BB1376" w:rsidP="00BB1376">
            <w:pPr>
              <w:pStyle w:val="a3"/>
              <w:jc w:val="both"/>
              <w:rPr>
                <w:color w:val="626262"/>
                <w:sz w:val="20"/>
                <w:szCs w:val="20"/>
              </w:rPr>
            </w:pPr>
            <w:r>
              <w:rPr>
                <w:rStyle w:val="a4"/>
                <w:color w:val="626262"/>
                <w:sz w:val="20"/>
                <w:szCs w:val="20"/>
              </w:rPr>
              <w:t>Последующее измерение финансовых активов</w:t>
            </w:r>
            <w:r>
              <w:rPr>
                <w:rStyle w:val="apple-converted-space"/>
                <w:b/>
                <w:bCs/>
                <w:color w:val="626262"/>
                <w:sz w:val="20"/>
                <w:szCs w:val="20"/>
              </w:rPr>
              <w:t> </w:t>
            </w:r>
            <w:r>
              <w:rPr>
                <w:color w:val="626262"/>
                <w:sz w:val="20"/>
                <w:szCs w:val="20"/>
              </w:rPr>
              <w:br/>
              <w:t>(параграфы 45 и 46)</w:t>
            </w:r>
          </w:p>
          <w:p w:rsidR="00BB1376" w:rsidRDefault="00BB1376" w:rsidP="00BB1376">
            <w:pPr>
              <w:pStyle w:val="a3"/>
              <w:jc w:val="both"/>
              <w:rPr>
                <w:color w:val="626262"/>
                <w:sz w:val="20"/>
                <w:szCs w:val="20"/>
              </w:rPr>
            </w:pPr>
            <w:r>
              <w:rPr>
                <w:color w:val="626262"/>
                <w:sz w:val="20"/>
                <w:szCs w:val="20"/>
              </w:rPr>
              <w:t>AG66     В случае, если финансовый инструмент, который был ранее признан как финансовый актив, измеряется по справедливой стоимости и его справедливая стоимость падает ниже нуля, то он является финансовым обязательством в соответствии с параграфом 47.</w:t>
            </w:r>
          </w:p>
          <w:p w:rsidR="00BB1376" w:rsidRDefault="00BB1376" w:rsidP="00BB1376">
            <w:pPr>
              <w:pStyle w:val="a3"/>
              <w:jc w:val="both"/>
              <w:rPr>
                <w:color w:val="626262"/>
                <w:sz w:val="20"/>
                <w:szCs w:val="20"/>
              </w:rPr>
            </w:pPr>
            <w:r>
              <w:rPr>
                <w:color w:val="626262"/>
                <w:sz w:val="20"/>
                <w:szCs w:val="20"/>
              </w:rPr>
              <w:t>AG67     Следующий пример иллюстрирует учет затрат по сделке при первоначальном и последующем измерении финансового актива, имеющегося в наличии для продажи. Актив приобретается за 100 д.е. плюс комиссия за покупку в размере 2 д.е. Первоначально актив признается по стоимости 102 д.е. Следующая отчетная дата наступает день спустя, когда рыночная котировка актива составляет 100 д.е. Если бы актив был продан, то была бы уплачена комиссия в размере 3 д.е. На эту дату актив измеряется по стоимости 100 д.е. (без учета возможной комиссии при продаже), а убыток в размере 2 д.е. признается в собственном капитале. Если по финансовому активу, имеющемуся в наличии для продажи, имеются фиксированные или определимые платежи, то затраты по сделке амортизируются на прибыль или убыток с использованием метода эффективной ставки процента. Если по финансовому активу, имеющемуся в наличии для продажи, предусматриваются фиксированные или определимые платежи, то затраты по сделке признаются в составе прибыли или убытка тогда, когда прекращается признание актива или происходит его обесценение.</w:t>
            </w:r>
          </w:p>
          <w:p w:rsidR="00BB1376" w:rsidRDefault="00BB1376" w:rsidP="00BB1376">
            <w:pPr>
              <w:pStyle w:val="a3"/>
              <w:jc w:val="both"/>
              <w:rPr>
                <w:color w:val="626262"/>
                <w:sz w:val="20"/>
                <w:szCs w:val="20"/>
              </w:rPr>
            </w:pPr>
            <w:r>
              <w:rPr>
                <w:color w:val="626262"/>
                <w:sz w:val="20"/>
                <w:szCs w:val="20"/>
              </w:rPr>
              <w:t>AG68     Инструменты, классифицируемые как займы и дебиторская задолженность, измеряются по амортизированной стоимости независимо от того, намеревается предприятие удерживать их до погашения или нет.</w:t>
            </w:r>
          </w:p>
          <w:p w:rsidR="00BB1376" w:rsidRDefault="00BB1376" w:rsidP="00BB1376">
            <w:pPr>
              <w:pStyle w:val="a3"/>
              <w:jc w:val="both"/>
              <w:rPr>
                <w:color w:val="626262"/>
                <w:sz w:val="20"/>
                <w:szCs w:val="20"/>
              </w:rPr>
            </w:pPr>
            <w:r>
              <w:rPr>
                <w:color w:val="626262"/>
                <w:sz w:val="20"/>
                <w:szCs w:val="20"/>
              </w:rPr>
              <w:lastRenderedPageBreak/>
              <w:t> </w:t>
            </w:r>
          </w:p>
          <w:p w:rsidR="00BB1376" w:rsidRDefault="00BB1376" w:rsidP="00BB1376">
            <w:pPr>
              <w:pStyle w:val="a3"/>
              <w:jc w:val="both"/>
              <w:rPr>
                <w:color w:val="626262"/>
                <w:sz w:val="20"/>
                <w:szCs w:val="20"/>
              </w:rPr>
            </w:pPr>
            <w:r>
              <w:rPr>
                <w:rStyle w:val="a4"/>
                <w:color w:val="626262"/>
                <w:sz w:val="20"/>
                <w:szCs w:val="20"/>
              </w:rPr>
              <w:t>Вопросы измерения справедливой стоимости (параграфы 48-49)</w:t>
            </w:r>
          </w:p>
          <w:p w:rsidR="00BB1376" w:rsidRDefault="00BB1376" w:rsidP="00BB1376">
            <w:pPr>
              <w:pStyle w:val="a3"/>
              <w:jc w:val="both"/>
              <w:rPr>
                <w:color w:val="626262"/>
                <w:sz w:val="20"/>
                <w:szCs w:val="20"/>
              </w:rPr>
            </w:pPr>
            <w:r>
              <w:rPr>
                <w:color w:val="626262"/>
                <w:sz w:val="20"/>
                <w:szCs w:val="20"/>
              </w:rPr>
              <w:t>AG69     В основе определения справедливой стоимости лежит предположение о непрерывности деятельности компании, которая не имеет намерения или необходимости ликвидироваться, значительно сокращать масштабы своей деятельности или осуществлять операции на невыгодных условиях. Таким образом, справедливая стоимость не является той суммой, которую предприятие получило бы или заплатило бы при вынужденной операции, принудительной ликвидации или продаже по крайне низким ценам. Однако справедливая стоимость отражает кредитное качество инструмента.</w:t>
            </w:r>
          </w:p>
          <w:p w:rsidR="00BB1376" w:rsidRDefault="00BB1376" w:rsidP="00BB1376">
            <w:pPr>
              <w:pStyle w:val="a3"/>
              <w:jc w:val="both"/>
              <w:rPr>
                <w:color w:val="626262"/>
                <w:sz w:val="20"/>
                <w:szCs w:val="20"/>
              </w:rPr>
            </w:pPr>
            <w:r>
              <w:rPr>
                <w:color w:val="626262"/>
                <w:sz w:val="20"/>
                <w:szCs w:val="20"/>
              </w:rPr>
              <w:t>AG70     В настоящем стандарте используются термины «цена спроса» и «запрашиваемая цена» (иногда называемая «текущей ценой предложения») в контексте рыночных котировок, а также термин «спрэд между ценами продавца и покупателя», учитывающий только затраты по сделке. Другие корректировки, производимые с целью расчета справедливой стоимости (например, корректировка с учетом кредитного риска встречной стороны), не включаются в термин « спрэд между ценами продавца и покупателя ».</w:t>
            </w:r>
          </w:p>
          <w:p w:rsidR="00BB1376" w:rsidRDefault="00BB1376" w:rsidP="00BB1376">
            <w:pPr>
              <w:pStyle w:val="a3"/>
              <w:jc w:val="both"/>
              <w:rPr>
                <w:color w:val="626262"/>
                <w:sz w:val="20"/>
                <w:szCs w:val="20"/>
              </w:rPr>
            </w:pPr>
            <w:r>
              <w:rPr>
                <w:color w:val="626262"/>
                <w:sz w:val="20"/>
                <w:szCs w:val="20"/>
              </w:rPr>
              <w:t> </w:t>
            </w:r>
          </w:p>
          <w:p w:rsidR="00BB1376" w:rsidRDefault="00BB1376" w:rsidP="00BB1376">
            <w:pPr>
              <w:pStyle w:val="a3"/>
              <w:jc w:val="both"/>
              <w:rPr>
                <w:color w:val="626262"/>
                <w:sz w:val="20"/>
                <w:szCs w:val="20"/>
              </w:rPr>
            </w:pPr>
            <w:r>
              <w:rPr>
                <w:rStyle w:val="a4"/>
                <w:color w:val="626262"/>
                <w:sz w:val="20"/>
                <w:szCs w:val="20"/>
              </w:rPr>
              <w:t>Активный рынок: котируемая цена</w:t>
            </w:r>
          </w:p>
          <w:p w:rsidR="00BB1376" w:rsidRDefault="00BB1376" w:rsidP="00BB1376">
            <w:pPr>
              <w:pStyle w:val="a3"/>
              <w:jc w:val="both"/>
              <w:rPr>
                <w:color w:val="626262"/>
                <w:sz w:val="20"/>
                <w:szCs w:val="20"/>
              </w:rPr>
            </w:pPr>
            <w:r>
              <w:rPr>
                <w:color w:val="626262"/>
                <w:sz w:val="20"/>
                <w:szCs w:val="20"/>
              </w:rPr>
              <w:t>AG71     Финансовый инструмент считается котирующимся на активном рынке, если информацию о котируемых ценах можно свободно и регулярно получать от фондовой биржи, дилера, брокера, отраслевой группы, службы ценообразования или регулирующего органа и эти цены представляют действительные и регулярные рыночные операции между независимыми друг от друга сторонами. Определение термина «справедливая стоимость» дается с точки зрения цены, согласованной между независимыми покупателем и продавцом, желающими совершить такую сделку. Цель определения справедливой стоимости финансового инструмента, продающегося на активном рынке, состоит в том, чтобы определить цену, по которой была бы совершена операция с этим инструментом на отчетную дату (т.е. без модификации или внесения изменений в инструмент), на наиболее выгодном активном рынке, к которому предприятие имеет прямой доступ. Однако предприятие корректирует цену, действующую на более выгодном рынке, для того, чтобы отразить разницы в кредитном риске встречной стороны между инструментами, продающимися на этом рынке, и оцениваемым инструментом. Наличие опубликованных котируемых цен на активном рынке служит наилучшим подтверждением справедливой стоимости, и если они имеются, то используются для измерения финансового актива или финансового обязательства.</w:t>
            </w:r>
          </w:p>
          <w:p w:rsidR="00BB1376" w:rsidRDefault="00BB1376" w:rsidP="00BB1376">
            <w:pPr>
              <w:pStyle w:val="a3"/>
              <w:jc w:val="both"/>
              <w:rPr>
                <w:color w:val="626262"/>
                <w:sz w:val="20"/>
                <w:szCs w:val="20"/>
              </w:rPr>
            </w:pPr>
            <w:r>
              <w:rPr>
                <w:color w:val="626262"/>
                <w:sz w:val="20"/>
                <w:szCs w:val="20"/>
              </w:rPr>
              <w:t>AG72     Рыночной котировкой, которая используется для имеющегося актива или выпускаемого обязательства, обычно считается текущая цена спроса, а для приобретаемого актива или имеющегося обязательства - цена предложения. Когда у предприятия имеются активы и обязательства с взаимно компенсирующими рыночными рисками, оно может использовать среднерыночные цены в качестве базы для определения справедливой стоимости взаимно компенсирующих позиций по риску и применить цену спроса или, соответственно, цену предложения к чистой открытой позиции. В случае отсутствия информации о цене спроса и предложения основой для определения текущей справедливой стоимости служит цена самой последней операции при условии, что с момента ее проведения не произошло существенных изменений экономических условий. Если с момента осуществления операции условия изменились (например, изменилась безрисковая процентная ставка после последней котировки цены для корпоративных облигаций), то справедливая стоимость отражает это изменение условий на основе текущих цен или ставок по аналогичным финансовым инструментам. Аналогичным образом, если предприятие может продемонстрировать, что цена последней операции не является справедливой стоимостью (например, ввиду того, что она отражает сумму, которую предприятие получило или заплатило бы при вынужденной операции, принудительной ликвидации или продаже по крайне низким ценам), то эта цена корректируется. Справедливая стоимость портфеля финансовых инструментов является произведением количества единиц инструмента и его рыночной котировки. Если отсутствует опубликованная котировка цены на открытом рынке для финансового инструмента в целом, но в то же время функционирует активный рынок его составных элементов, то справедливая стоимость определяется на основе соответствующих рыночных цен составных элементов.</w:t>
            </w:r>
          </w:p>
          <w:p w:rsidR="00BB1376" w:rsidRDefault="00BB1376" w:rsidP="00BB1376">
            <w:pPr>
              <w:pStyle w:val="a3"/>
              <w:jc w:val="both"/>
              <w:rPr>
                <w:color w:val="626262"/>
                <w:sz w:val="20"/>
                <w:szCs w:val="20"/>
              </w:rPr>
            </w:pPr>
            <w:r>
              <w:rPr>
                <w:color w:val="626262"/>
                <w:sz w:val="20"/>
                <w:szCs w:val="20"/>
              </w:rPr>
              <w:t xml:space="preserve">AG73     Если ставка (но не цена) котируется на активном рынке, то предприятие использует эту котируемую рыночную ставку в качестве исходной информации в методике оценки для определения справедливой стоимости. Если котируемая рыночная ставка не включает кредитный риск или другие факторы, которые участники рынка учитывали бы при оценке инструмента, то предприятие проводит </w:t>
            </w:r>
            <w:r>
              <w:rPr>
                <w:color w:val="626262"/>
                <w:sz w:val="20"/>
                <w:szCs w:val="20"/>
              </w:rPr>
              <w:lastRenderedPageBreak/>
              <w:t>корректировку с учетом этих факторов.</w:t>
            </w:r>
          </w:p>
          <w:p w:rsidR="00BB1376" w:rsidRDefault="00BB1376" w:rsidP="00BB1376">
            <w:pPr>
              <w:pStyle w:val="a3"/>
              <w:jc w:val="both"/>
              <w:rPr>
                <w:color w:val="626262"/>
                <w:sz w:val="20"/>
                <w:szCs w:val="20"/>
              </w:rPr>
            </w:pPr>
            <w:r>
              <w:rPr>
                <w:color w:val="626262"/>
                <w:sz w:val="20"/>
                <w:szCs w:val="20"/>
              </w:rPr>
              <w:t> </w:t>
            </w:r>
          </w:p>
          <w:p w:rsidR="00BB1376" w:rsidRDefault="00BB1376" w:rsidP="00BB1376">
            <w:pPr>
              <w:pStyle w:val="a3"/>
              <w:jc w:val="both"/>
              <w:rPr>
                <w:color w:val="626262"/>
                <w:sz w:val="20"/>
                <w:szCs w:val="20"/>
              </w:rPr>
            </w:pPr>
            <w:r>
              <w:rPr>
                <w:rStyle w:val="a4"/>
                <w:color w:val="626262"/>
                <w:sz w:val="20"/>
                <w:szCs w:val="20"/>
              </w:rPr>
              <w:t>Отсутствие активного рынка: методы оценки</w:t>
            </w:r>
          </w:p>
          <w:p w:rsidR="00BB1376" w:rsidRDefault="00BB1376" w:rsidP="00BB1376">
            <w:pPr>
              <w:pStyle w:val="a3"/>
              <w:jc w:val="both"/>
              <w:rPr>
                <w:color w:val="626262"/>
                <w:sz w:val="20"/>
                <w:szCs w:val="20"/>
              </w:rPr>
            </w:pPr>
            <w:r>
              <w:rPr>
                <w:color w:val="626262"/>
                <w:sz w:val="20"/>
                <w:szCs w:val="20"/>
              </w:rPr>
              <w:t>AG74     Если рынок финансового инструмента не является активным, то предприятие устанавливает справедливую стоимость, используя метод оценки. Приемы оценки включают использование информации о недавних рыночных операциях между независимыми, хорошо осведомленными, желающими совершить такие операции сторонами, при наличии таковой, сопоставление с текущей справедливой стоимостью другого, практически идентичного инструмента, анализ дисконтированных денежных потоков и моделей оценки опциона. Если существует метод оценки, широко используемый участниками рынка для определения цены инструмента, и было продемонстрировано, что этот метод обеспечивает надежные расчетные оценки цен, полученных на основе фактических рыночных операций, то предприятие использует этот метод.</w:t>
            </w:r>
          </w:p>
          <w:p w:rsidR="00BB1376" w:rsidRDefault="00BB1376" w:rsidP="00BB1376">
            <w:pPr>
              <w:pStyle w:val="a3"/>
              <w:jc w:val="both"/>
              <w:rPr>
                <w:color w:val="626262"/>
                <w:sz w:val="20"/>
                <w:szCs w:val="20"/>
              </w:rPr>
            </w:pPr>
            <w:r>
              <w:rPr>
                <w:color w:val="626262"/>
                <w:sz w:val="20"/>
                <w:szCs w:val="20"/>
              </w:rPr>
              <w:t>AG75     Цель применения метода оценки состоит в том, чтобы определить, какой была бы цена операции на дату измерения при совершении мотивированного нормальными деловыми соображениями обмена между независимыми сторонами. Справедливая стоимость рассчитывается на основе результатов применения метода оценки, в котором максимально используются рыночные исходные данные и который как можно меньше зависит от исходных данных, специфических для конкретного предприятия. Предполагается, что метод оценки обеспечивает реалистичную оценку справедливой стоимости, если (а) он в достаточной степени отражает ожидаемый метод оценки инструмента рынком и (b) исходные данные для метода оценки обоснованно представляют рыночные ожидания и измерения коэффициентов риск-доходность, присущих финансовому инструменту.</w:t>
            </w:r>
          </w:p>
          <w:p w:rsidR="00BB1376" w:rsidRDefault="00BB1376" w:rsidP="00BB1376">
            <w:pPr>
              <w:pStyle w:val="a3"/>
              <w:jc w:val="both"/>
              <w:rPr>
                <w:color w:val="626262"/>
                <w:sz w:val="20"/>
                <w:szCs w:val="20"/>
              </w:rPr>
            </w:pPr>
            <w:r>
              <w:rPr>
                <w:color w:val="626262"/>
                <w:sz w:val="20"/>
                <w:szCs w:val="20"/>
              </w:rPr>
              <w:t>AG76     Следовательно, метод оценки (а) включает все факторы, которые учитывались бы участниками рынка при установлении цены, и (b) соответствует общепринятой экономической методологии ценообразования финансовых инструментов. Предприятие периодически выверяет метод оценки и проверяет его правильность, используя информацию о ценах в наблюдаемых текущих рыночных операциях с таким же инструментом (т.е. без модификации и внесения изменений), или исходя из имеющихся наблюдаемых рыночных данных. Наилучшим подтверждением справедливой стоимости финансового инструмента при первоначальном признании является цена операции (т.е. справедливая стоимость возмещения, переданного или полученного), за исключением тех случаев, когда справедливая стоимость этого инструмента подтверждается путем сравнения с другими наблюдаемыми текущими рыночными операциями с таким же инструментом (т.е. без модификации и внесения изменений) или на основе такого метода оценки, в котором переменные величины включают только данные с наблюдаемых рынков.</w:t>
            </w:r>
          </w:p>
          <w:p w:rsidR="00BB1376" w:rsidRDefault="00BB1376" w:rsidP="00BB1376">
            <w:pPr>
              <w:pStyle w:val="a3"/>
              <w:jc w:val="both"/>
              <w:rPr>
                <w:color w:val="626262"/>
                <w:sz w:val="20"/>
                <w:szCs w:val="20"/>
              </w:rPr>
            </w:pPr>
            <w:r>
              <w:rPr>
                <w:color w:val="626262"/>
                <w:sz w:val="20"/>
                <w:szCs w:val="20"/>
              </w:rPr>
              <w:t>AG76A  Последующее измерение финансового актива или финансового обязательства и последующее признание прибылей и убытков должны производиться в соответствии с требованиями настоящего стандарта. Применение пункта AG76 может привести к тому, что при первоначальном признании финансового актива или финансового обязательства не будут признаны никакие прибыли или убытки. В этом случае в соответствии с МСФО (IAS) 39 прибыль или убыток после первоначального признания признаются только в той мере, в которой их образование связано с изменением фактора (включая временной фактор), который учитывался бы участниками рынка при установлении цены.</w:t>
            </w:r>
          </w:p>
          <w:p w:rsidR="00BB1376" w:rsidRDefault="00BB1376" w:rsidP="00BB1376">
            <w:pPr>
              <w:pStyle w:val="a3"/>
              <w:jc w:val="both"/>
              <w:rPr>
                <w:color w:val="626262"/>
                <w:sz w:val="20"/>
                <w:szCs w:val="20"/>
              </w:rPr>
            </w:pPr>
            <w:r>
              <w:rPr>
                <w:color w:val="626262"/>
                <w:sz w:val="20"/>
                <w:szCs w:val="20"/>
              </w:rPr>
              <w:t xml:space="preserve">AG77     Первоначальное приобретение или предоставление финансового актива, или возникновение финансового обязательства является рыночной операцией, которая служит основой для оценки справедливой стоимости финансового инструмента. В частности, если финансовый инструмент является долговым инструментом (например, заем), то его справедливую стоимость можно определить на основании рыночных условий, существовавших на дату его приобретения или предоставления, и текущих рыночных условий или процентных ставок, начисляемых в настоящее время предприятием или другими сторонами по аналогичным долговым инструментам (т.е. аналогичный оставшийся период до даты погашения, схема движения денежных средств, валюта, кредитный риск, залог и база начисления процентов). В качестве альтернативы при условии, что в кредитном риске дебитора и в применимых кредитных спрэдах не произошло изменений после возникновения долгового инструмента, расчет текущей рыночной процентной ставки может быть осуществлен посредством использования базовой процентной ставки, отражающей лучшую кредитоспособность, чем у рассматриваемого долгового инструмента, сохранения кредитного спрэда неизменным и корректировки с учетом изменения базовой процентной ставки с даты возникновения долгового инструмента. Если с момента осуществления самой последней рыночной операции условия изменились, то соответствующее изменение справедливой стоимости оцениваемого финансового </w:t>
            </w:r>
            <w:r>
              <w:rPr>
                <w:color w:val="626262"/>
                <w:sz w:val="20"/>
                <w:szCs w:val="20"/>
              </w:rPr>
              <w:lastRenderedPageBreak/>
              <w:t>инструмента определяется на основе текущих цен или ставок по аналогичным финансовым инструментам, скорректированных при необходимости с учетом отличий от оцениваемого инструмента.</w:t>
            </w:r>
          </w:p>
          <w:p w:rsidR="00BB1376" w:rsidRDefault="00BB1376" w:rsidP="00BB1376">
            <w:pPr>
              <w:pStyle w:val="a3"/>
              <w:jc w:val="both"/>
              <w:rPr>
                <w:color w:val="626262"/>
                <w:sz w:val="20"/>
                <w:szCs w:val="20"/>
              </w:rPr>
            </w:pPr>
            <w:r>
              <w:rPr>
                <w:color w:val="626262"/>
                <w:sz w:val="20"/>
                <w:szCs w:val="20"/>
              </w:rPr>
              <w:t>AG78     Не на каждую дату измерения возможно получение одинаковой информации. Например, на ту дату, когда предприятие получает заем или приобретает долговой инструмент, который активно не продается на рынке, ему известна цена операции, которая также является рыночной ценой. Однако на следующую дату измерения может быть не получена новая информация об операциях и, несмотря на то, что предприятие может определить общий уровень рыночных процентных ставок, оно может не знать, какой уровень кредитного или другого риска могут учитывать участники рынка при оценке стоимости инструмента на эту дату. Предприятие может не иметь информацию о последних операциях для определения соответствующего кредитного спрэда над базовой процентной ставкой, чтобы использовать его при определении ставки дисконтирования для расчета приведенной стоимости. При отсутствии свидетельства обратного будет разумно предположить, что в спрэде, который существовал на дату получения займа, не произошло никаких изменений. Однако предполагается, что предприятие предпримет разумные усилия, чтобы определить, существует ли свидетельство того, что произошло изменение в таких факторах. Если имеются свидетельства изменения, то при определении справедливой стоимости финансового инструмента предприятие учитывает влияние этого изменения.</w:t>
            </w:r>
          </w:p>
          <w:p w:rsidR="00BB1376" w:rsidRDefault="00BB1376" w:rsidP="00BB1376">
            <w:pPr>
              <w:pStyle w:val="a3"/>
              <w:jc w:val="both"/>
              <w:rPr>
                <w:color w:val="626262"/>
                <w:sz w:val="20"/>
                <w:szCs w:val="20"/>
              </w:rPr>
            </w:pPr>
            <w:r>
              <w:rPr>
                <w:color w:val="626262"/>
                <w:sz w:val="20"/>
                <w:szCs w:val="20"/>
              </w:rPr>
              <w:t>AG79     При применении анализа дисконтированных денежных потоков предприятие использует одну или несколько ставок дисконтирования, которые равны преобладающим нормам доходности для финансовых инструментов, имеющих практически аналогичные условия, включая кредитоспособность инструмента, оставшийся период действия зафиксированной в договоре ставки процента, оставшийся срок до погашения основной суммы и валюту, в которой должны производиться выплаты. Краткосрочную дебиторскую и кредиторскую задолженность при отсутствии объявленной процентной ставки можно измерять по первоначальной стоимости, указанной в счете-фактуре, если результат дисконтирования несущественен.</w:t>
            </w:r>
          </w:p>
          <w:p w:rsidR="00BB1376" w:rsidRDefault="00BB1376" w:rsidP="00BB1376">
            <w:pPr>
              <w:pStyle w:val="a3"/>
              <w:jc w:val="both"/>
              <w:rPr>
                <w:color w:val="626262"/>
                <w:sz w:val="20"/>
                <w:szCs w:val="20"/>
              </w:rPr>
            </w:pPr>
            <w:r>
              <w:rPr>
                <w:color w:val="626262"/>
                <w:sz w:val="20"/>
                <w:szCs w:val="20"/>
              </w:rPr>
              <w:t> </w:t>
            </w:r>
          </w:p>
          <w:p w:rsidR="00BB1376" w:rsidRDefault="00BB1376" w:rsidP="00BB1376">
            <w:pPr>
              <w:pStyle w:val="a3"/>
              <w:jc w:val="both"/>
              <w:rPr>
                <w:color w:val="626262"/>
                <w:sz w:val="20"/>
                <w:szCs w:val="20"/>
              </w:rPr>
            </w:pPr>
            <w:r>
              <w:rPr>
                <w:rStyle w:val="a4"/>
                <w:color w:val="626262"/>
                <w:sz w:val="20"/>
                <w:szCs w:val="20"/>
              </w:rPr>
              <w:t>Отсутствие активного рынка: долевые инструменты</w:t>
            </w:r>
          </w:p>
          <w:p w:rsidR="00BB1376" w:rsidRDefault="00BB1376" w:rsidP="00BB1376">
            <w:pPr>
              <w:pStyle w:val="a3"/>
              <w:jc w:val="both"/>
              <w:rPr>
                <w:color w:val="626262"/>
                <w:sz w:val="20"/>
                <w:szCs w:val="20"/>
              </w:rPr>
            </w:pPr>
            <w:r>
              <w:rPr>
                <w:color w:val="626262"/>
                <w:sz w:val="20"/>
                <w:szCs w:val="20"/>
              </w:rPr>
              <w:t>AG80     Справедливая стоимость инвестиций в долевые инструменты, которые не имеют рыночных котировок на активном рынке, и производные инструменты, которые связаны с некотируемым долевым инструментом и расчеты по которым должны производиться путем поставки такого некотируемого долевого инструмента (см. параграфы 46(с) и 47), измеряется с достаточной степенью надежности, если (а) диапазон, в котором находятся обоснованные расчетные оценки справедливой стоимости, не является значительным для этого инструмента, или (б) можно обоснованно оценить вероятность разных расчетных оценок в рамках этих пределов и использовать ее в расчете справедливой стоимости.</w:t>
            </w:r>
          </w:p>
          <w:p w:rsidR="00BB1376" w:rsidRDefault="00BB1376" w:rsidP="00BB1376">
            <w:pPr>
              <w:pStyle w:val="a3"/>
              <w:jc w:val="both"/>
              <w:rPr>
                <w:color w:val="626262"/>
                <w:sz w:val="20"/>
                <w:szCs w:val="20"/>
              </w:rPr>
            </w:pPr>
            <w:r>
              <w:rPr>
                <w:color w:val="626262"/>
                <w:sz w:val="20"/>
                <w:szCs w:val="20"/>
              </w:rPr>
              <w:t>AG81     Существует много ситуаций, в которых диапазон, в котором находятся обоснованные расчетные оценки справедливой стоимости инвестиций в долевые инструменты, не имеющие рыночных котировок, и производные инструменты, которые связаны с некотируемым долевым инструментом и расчеты по которым должны производиться путем поставки такого некотируемого долевого инструмента (см. параграфы 46(с) и 47), вероятно, не является значительной. Как правило, возможно рассчитать справедливую стоимость финансового актива, приобретенного предприятием у внешней стороны. Однако если диапазон, в котором находятся обоснованные расчетные оценки справедливой стоимости, значителен и вероятности разных расчетных оценок нельзя обоснованно оценить, предприятие не измеряет инструмент по справедливой стоимости.</w:t>
            </w:r>
          </w:p>
          <w:p w:rsidR="00BB1376" w:rsidRDefault="00BB1376" w:rsidP="00BB1376">
            <w:pPr>
              <w:pStyle w:val="a3"/>
              <w:jc w:val="both"/>
              <w:rPr>
                <w:color w:val="626262"/>
                <w:sz w:val="20"/>
                <w:szCs w:val="20"/>
              </w:rPr>
            </w:pPr>
            <w:r>
              <w:rPr>
                <w:color w:val="626262"/>
                <w:sz w:val="20"/>
                <w:szCs w:val="20"/>
              </w:rPr>
              <w:t> </w:t>
            </w:r>
          </w:p>
          <w:p w:rsidR="00BB1376" w:rsidRDefault="00BB1376" w:rsidP="00BB1376">
            <w:pPr>
              <w:pStyle w:val="a3"/>
              <w:jc w:val="both"/>
              <w:rPr>
                <w:color w:val="626262"/>
                <w:sz w:val="20"/>
                <w:szCs w:val="20"/>
              </w:rPr>
            </w:pPr>
            <w:r>
              <w:rPr>
                <w:rStyle w:val="a4"/>
                <w:color w:val="626262"/>
                <w:sz w:val="20"/>
                <w:szCs w:val="20"/>
              </w:rPr>
              <w:t>Исходная информация в методах оценки</w:t>
            </w:r>
          </w:p>
          <w:p w:rsidR="00BB1376" w:rsidRDefault="00BB1376" w:rsidP="00BB1376">
            <w:pPr>
              <w:pStyle w:val="a3"/>
              <w:jc w:val="both"/>
              <w:rPr>
                <w:color w:val="626262"/>
                <w:sz w:val="20"/>
                <w:szCs w:val="20"/>
              </w:rPr>
            </w:pPr>
            <w:r>
              <w:rPr>
                <w:color w:val="626262"/>
                <w:sz w:val="20"/>
                <w:szCs w:val="20"/>
              </w:rPr>
              <w:t>AG82     Метод оценки справедливой стоимости конкретного финансового инструмента должен использовать наблюдаемую рыночную информацию о рыночных условиях и других факторах, которые, вероятно, повлияют на справедливую стоимость инструмента. Справедливая стоимость финансового инструмента будет основана на одном или нескольких из перечисленных ниже факторов (а также, возможно, на других факторах).</w:t>
            </w:r>
          </w:p>
          <w:p w:rsidR="00BB1376" w:rsidRDefault="00BB1376" w:rsidP="00BB1376">
            <w:pPr>
              <w:pStyle w:val="a3"/>
              <w:jc w:val="both"/>
              <w:rPr>
                <w:color w:val="626262"/>
                <w:sz w:val="20"/>
                <w:szCs w:val="20"/>
              </w:rPr>
            </w:pPr>
            <w:r>
              <w:rPr>
                <w:color w:val="626262"/>
                <w:sz w:val="20"/>
                <w:szCs w:val="20"/>
              </w:rPr>
              <w:t>(а)          </w:t>
            </w:r>
            <w:r>
              <w:rPr>
                <w:rStyle w:val="apple-converted-space"/>
                <w:color w:val="626262"/>
                <w:sz w:val="20"/>
                <w:szCs w:val="20"/>
              </w:rPr>
              <w:t> </w:t>
            </w:r>
            <w:r>
              <w:rPr>
                <w:rStyle w:val="a5"/>
                <w:color w:val="626262"/>
                <w:sz w:val="20"/>
                <w:szCs w:val="20"/>
              </w:rPr>
              <w:t>Временная стоимость денег (т.е. проценты по базовой или безрисковой ставке).</w:t>
            </w:r>
            <w:r>
              <w:rPr>
                <w:rStyle w:val="apple-converted-space"/>
                <w:color w:val="626262"/>
                <w:sz w:val="20"/>
                <w:szCs w:val="20"/>
              </w:rPr>
              <w:t> </w:t>
            </w:r>
            <w:r>
              <w:rPr>
                <w:color w:val="626262"/>
                <w:sz w:val="20"/>
                <w:szCs w:val="20"/>
              </w:rPr>
              <w:t xml:space="preserve">Базовые процентные ставки обычно можно получить, исходя из наблюдаемых цен на государственные облигации. Они также часто приводятся в финансовых публикациях. Эти ставки обычно меняются в зависимости от </w:t>
            </w:r>
            <w:r>
              <w:rPr>
                <w:color w:val="626262"/>
                <w:sz w:val="20"/>
                <w:szCs w:val="20"/>
              </w:rPr>
              <w:lastRenderedPageBreak/>
              <w:t>ожидаемых дат прогнозируемых потоков денежных средств в соответствии с кривой доходности, на которой представлены ставки процента для разных промежутков времени. По практическим причинам предприятие может использовать признанную и свободно наблюдаемую общую ставку, например, ЛИБОР, или ставку свопа в качестве базовой ставки. (Поскольку общая процентная ставка, такая как ставка ЛИБОР, не является безрисковой процентной ставкой, на основе кредитного рейтинга по такой базовой ставке определяется соответствующая корректировка значения кредитного риска.) В некоторых странах государственным облигациям присущ значительный кредитный риск, и процент по таким облигациям не может считаться стабильной базовой ставкой для инструментов, деноминированных в валюте таких стран. Некоторые предприятия в этих странах могут иметь лучшую кредитоспособность и более низкую ставку процента по займам, чем центральное правительство. В таком случае базовые процентные ставки можно более точно определить на основе процентных ставок для корпоративных облигаций с самым высоким рейтингом, выпущенных в валюте этой юрисдикции.</w:t>
            </w:r>
          </w:p>
          <w:p w:rsidR="00BB1376" w:rsidRDefault="00BB1376" w:rsidP="00BB1376">
            <w:pPr>
              <w:pStyle w:val="a3"/>
              <w:jc w:val="both"/>
              <w:rPr>
                <w:color w:val="626262"/>
                <w:sz w:val="20"/>
                <w:szCs w:val="20"/>
              </w:rPr>
            </w:pPr>
            <w:r>
              <w:rPr>
                <w:color w:val="626262"/>
                <w:sz w:val="20"/>
                <w:szCs w:val="20"/>
              </w:rPr>
              <w:t>(b)          </w:t>
            </w:r>
            <w:r>
              <w:rPr>
                <w:rStyle w:val="apple-converted-space"/>
                <w:color w:val="626262"/>
                <w:sz w:val="20"/>
                <w:szCs w:val="20"/>
              </w:rPr>
              <w:t> </w:t>
            </w:r>
            <w:r>
              <w:rPr>
                <w:rStyle w:val="a5"/>
                <w:color w:val="626262"/>
                <w:sz w:val="20"/>
                <w:szCs w:val="20"/>
              </w:rPr>
              <w:t>Кредитный риск.</w:t>
            </w:r>
            <w:r>
              <w:rPr>
                <w:rStyle w:val="apple-converted-space"/>
                <w:color w:val="626262"/>
                <w:sz w:val="20"/>
                <w:szCs w:val="20"/>
              </w:rPr>
              <w:t> </w:t>
            </w:r>
            <w:r>
              <w:rPr>
                <w:color w:val="626262"/>
                <w:sz w:val="20"/>
                <w:szCs w:val="20"/>
              </w:rPr>
              <w:t>Влияние кредитного риска на справедливую стоимость (т.е. премию сверх базовой процентной ставки, отражающую кредитный риск) можно определить на основе наблюдаемых рыночных цен на продаваемые инструменты, имеющие разную кредитоспособность, или на основе наблюдаемых процентных ставок, начисляемых кредиторами по займам с различным кредитным рейтингом.</w:t>
            </w:r>
          </w:p>
          <w:p w:rsidR="00BB1376" w:rsidRDefault="00BB1376" w:rsidP="00BB1376">
            <w:pPr>
              <w:pStyle w:val="a3"/>
              <w:jc w:val="both"/>
              <w:rPr>
                <w:color w:val="626262"/>
                <w:sz w:val="20"/>
                <w:szCs w:val="20"/>
              </w:rPr>
            </w:pPr>
            <w:r>
              <w:rPr>
                <w:color w:val="626262"/>
                <w:sz w:val="20"/>
                <w:szCs w:val="20"/>
              </w:rPr>
              <w:t>(c)          </w:t>
            </w:r>
            <w:r>
              <w:rPr>
                <w:rStyle w:val="apple-converted-space"/>
                <w:color w:val="626262"/>
                <w:sz w:val="20"/>
                <w:szCs w:val="20"/>
              </w:rPr>
              <w:t> </w:t>
            </w:r>
            <w:r>
              <w:rPr>
                <w:rStyle w:val="a5"/>
                <w:color w:val="626262"/>
                <w:sz w:val="20"/>
                <w:szCs w:val="20"/>
              </w:rPr>
              <w:t>Курсы обмена иностранных валют.</w:t>
            </w:r>
            <w:r>
              <w:rPr>
                <w:rStyle w:val="apple-converted-space"/>
                <w:color w:val="626262"/>
                <w:sz w:val="20"/>
                <w:szCs w:val="20"/>
              </w:rPr>
              <w:t> </w:t>
            </w:r>
            <w:r>
              <w:rPr>
                <w:color w:val="626262"/>
                <w:sz w:val="20"/>
                <w:szCs w:val="20"/>
              </w:rPr>
              <w:t>Активные рынки обмена валют существуют для большинства крупных валют, и цены приводятся ежедневно в финансовых публикациях.</w:t>
            </w:r>
          </w:p>
          <w:p w:rsidR="00BB1376" w:rsidRDefault="00BB1376" w:rsidP="00BB1376">
            <w:pPr>
              <w:pStyle w:val="a3"/>
              <w:jc w:val="both"/>
              <w:rPr>
                <w:color w:val="626262"/>
                <w:sz w:val="20"/>
                <w:szCs w:val="20"/>
              </w:rPr>
            </w:pPr>
            <w:r>
              <w:rPr>
                <w:color w:val="626262"/>
                <w:sz w:val="20"/>
                <w:szCs w:val="20"/>
              </w:rPr>
              <w:t>(d)          </w:t>
            </w:r>
            <w:r>
              <w:rPr>
                <w:rStyle w:val="apple-converted-space"/>
                <w:color w:val="626262"/>
                <w:sz w:val="20"/>
                <w:szCs w:val="20"/>
              </w:rPr>
              <w:t> </w:t>
            </w:r>
            <w:r>
              <w:rPr>
                <w:rStyle w:val="a5"/>
                <w:color w:val="626262"/>
                <w:sz w:val="20"/>
                <w:szCs w:val="20"/>
              </w:rPr>
              <w:t>Цены на товары</w:t>
            </w:r>
            <w:r>
              <w:rPr>
                <w:color w:val="626262"/>
                <w:sz w:val="20"/>
                <w:szCs w:val="20"/>
              </w:rPr>
              <w:t>. Для многих видов товаров существуют наблюдаемые рыночные цены.</w:t>
            </w:r>
          </w:p>
          <w:p w:rsidR="00BB1376" w:rsidRDefault="00BB1376" w:rsidP="00BB1376">
            <w:pPr>
              <w:pStyle w:val="a3"/>
              <w:jc w:val="both"/>
              <w:rPr>
                <w:color w:val="626262"/>
                <w:sz w:val="20"/>
                <w:szCs w:val="20"/>
              </w:rPr>
            </w:pPr>
            <w:r>
              <w:rPr>
                <w:color w:val="626262"/>
                <w:sz w:val="20"/>
                <w:szCs w:val="20"/>
              </w:rPr>
              <w:t>(e)          </w:t>
            </w:r>
            <w:r>
              <w:rPr>
                <w:rStyle w:val="apple-converted-space"/>
                <w:color w:val="626262"/>
                <w:sz w:val="20"/>
                <w:szCs w:val="20"/>
              </w:rPr>
              <w:t> </w:t>
            </w:r>
            <w:r>
              <w:rPr>
                <w:rStyle w:val="a5"/>
                <w:color w:val="626262"/>
                <w:sz w:val="20"/>
                <w:szCs w:val="20"/>
              </w:rPr>
              <w:t>Цены на долевые инструменты.</w:t>
            </w:r>
            <w:r>
              <w:rPr>
                <w:rStyle w:val="apple-converted-space"/>
                <w:color w:val="626262"/>
                <w:sz w:val="20"/>
                <w:szCs w:val="20"/>
              </w:rPr>
              <w:t> </w:t>
            </w:r>
            <w:r>
              <w:rPr>
                <w:color w:val="626262"/>
                <w:sz w:val="20"/>
                <w:szCs w:val="20"/>
              </w:rPr>
              <w:t>На некоторых рынках можно свободно наблюдать цены (и индексы цен) на продаваемые долевые инструменты. Для расчета текущей рыночной цены долевых инструментов, по которым отсутствует информация о наблюдаемых ценах, могут использоваться методы, основанные на приведенной стоимости.</w:t>
            </w:r>
          </w:p>
          <w:p w:rsidR="00BB1376" w:rsidRDefault="00BB1376" w:rsidP="00BB1376">
            <w:pPr>
              <w:pStyle w:val="a3"/>
              <w:jc w:val="both"/>
              <w:rPr>
                <w:color w:val="626262"/>
                <w:sz w:val="20"/>
                <w:szCs w:val="20"/>
              </w:rPr>
            </w:pPr>
            <w:r>
              <w:rPr>
                <w:color w:val="626262"/>
                <w:sz w:val="20"/>
                <w:szCs w:val="20"/>
              </w:rPr>
              <w:t>(f)           </w:t>
            </w:r>
            <w:r>
              <w:rPr>
                <w:rStyle w:val="apple-converted-space"/>
                <w:color w:val="626262"/>
                <w:sz w:val="20"/>
                <w:szCs w:val="20"/>
              </w:rPr>
              <w:t> </w:t>
            </w:r>
            <w:r>
              <w:rPr>
                <w:rStyle w:val="a5"/>
                <w:color w:val="626262"/>
                <w:sz w:val="20"/>
                <w:szCs w:val="20"/>
              </w:rPr>
              <w:t>Изменчивость (т.е. величина будущих изменений цены финансового инструмента или другой статьи).</w:t>
            </w:r>
            <w:r>
              <w:rPr>
                <w:rStyle w:val="apple-converted-space"/>
                <w:color w:val="626262"/>
                <w:sz w:val="20"/>
                <w:szCs w:val="20"/>
              </w:rPr>
              <w:t> </w:t>
            </w:r>
            <w:r>
              <w:rPr>
                <w:color w:val="626262"/>
                <w:sz w:val="20"/>
                <w:szCs w:val="20"/>
              </w:rPr>
              <w:t>Показатели изменчивости активно продаваемых статей обычно можно обоснованно рассчитать на основе исторических рыночных данных или используя данные об изменчивости, подразумеваемые исходя из текущих рыночных цен.</w:t>
            </w:r>
          </w:p>
          <w:p w:rsidR="00BB1376" w:rsidRDefault="00BB1376" w:rsidP="00BB1376">
            <w:pPr>
              <w:pStyle w:val="a3"/>
              <w:jc w:val="both"/>
              <w:rPr>
                <w:color w:val="626262"/>
                <w:sz w:val="20"/>
                <w:szCs w:val="20"/>
              </w:rPr>
            </w:pPr>
            <w:r>
              <w:rPr>
                <w:color w:val="626262"/>
                <w:sz w:val="20"/>
                <w:szCs w:val="20"/>
              </w:rPr>
              <w:t>(g)          </w:t>
            </w:r>
            <w:r>
              <w:rPr>
                <w:rStyle w:val="apple-converted-space"/>
                <w:color w:val="626262"/>
                <w:sz w:val="20"/>
                <w:szCs w:val="20"/>
              </w:rPr>
              <w:t> </w:t>
            </w:r>
            <w:r>
              <w:rPr>
                <w:rStyle w:val="a5"/>
                <w:color w:val="626262"/>
                <w:sz w:val="20"/>
                <w:szCs w:val="20"/>
              </w:rPr>
              <w:t>Риск досрочного погашения и риск отказа от обязательств.</w:t>
            </w:r>
            <w:r>
              <w:rPr>
                <w:rStyle w:val="apple-converted-space"/>
                <w:color w:val="626262"/>
                <w:sz w:val="20"/>
                <w:szCs w:val="20"/>
              </w:rPr>
              <w:t> </w:t>
            </w:r>
            <w:r>
              <w:rPr>
                <w:color w:val="626262"/>
                <w:sz w:val="20"/>
                <w:szCs w:val="20"/>
              </w:rPr>
              <w:t>График ожидаемых досрочных погашений по финансовым активам и график ожидаемых отказов по финансовым обязательствам можно рассчитать на основе исторических данных. (Справедливая стоимость финансового обязательства, от которого может отказаться встречная сторона, не может быть меньше приведенной стоимости суммы отказа - см. параграф 49.)</w:t>
            </w:r>
          </w:p>
          <w:p w:rsidR="00BB1376" w:rsidRDefault="00BB1376" w:rsidP="00BB1376">
            <w:pPr>
              <w:pStyle w:val="a3"/>
              <w:jc w:val="both"/>
              <w:rPr>
                <w:color w:val="626262"/>
                <w:sz w:val="20"/>
                <w:szCs w:val="20"/>
              </w:rPr>
            </w:pPr>
            <w:r>
              <w:rPr>
                <w:color w:val="626262"/>
                <w:sz w:val="20"/>
                <w:szCs w:val="20"/>
              </w:rPr>
              <w:t>(h)          </w:t>
            </w:r>
            <w:r>
              <w:rPr>
                <w:rStyle w:val="apple-converted-space"/>
                <w:color w:val="626262"/>
                <w:sz w:val="20"/>
                <w:szCs w:val="20"/>
              </w:rPr>
              <w:t> </w:t>
            </w:r>
            <w:r>
              <w:rPr>
                <w:rStyle w:val="a5"/>
                <w:color w:val="626262"/>
                <w:sz w:val="20"/>
                <w:szCs w:val="20"/>
              </w:rPr>
              <w:t>Затраты на обслуживание финансового актива или финансового обязательства.</w:t>
            </w:r>
            <w:r>
              <w:rPr>
                <w:rStyle w:val="apple-converted-space"/>
                <w:color w:val="626262"/>
                <w:sz w:val="20"/>
                <w:szCs w:val="20"/>
              </w:rPr>
              <w:t> </w:t>
            </w:r>
            <w:r>
              <w:rPr>
                <w:color w:val="626262"/>
                <w:sz w:val="20"/>
                <w:szCs w:val="20"/>
              </w:rPr>
              <w:t>Затраты на обслуживание можно рассчитать на основе сравнения с текущими суммами вознаграждений, взимаемыми другими участниками рынка. Если затраты на обслуживание финансового актива или финансового обязательства значительны и у других участников рынка возникнут сопоставимые затраты, то эмитент учитывает их при определении справедливой стоимости этого финансового актива или финансового обязательства. Вероятно, что справедливая стоимость договорного права на будущие вознаграждения при его возникновении будет равна затратам на заключение договора, кроме случаев, когда будущие вознаграждения и связанные с ними затраты не совпадают с рыночными сравнительными данными.</w:t>
            </w:r>
          </w:p>
          <w:p w:rsidR="00BB1376" w:rsidRDefault="00BB1376" w:rsidP="00BB1376">
            <w:pPr>
              <w:pStyle w:val="a3"/>
              <w:jc w:val="both"/>
              <w:rPr>
                <w:color w:val="626262"/>
                <w:sz w:val="20"/>
                <w:szCs w:val="20"/>
              </w:rPr>
            </w:pPr>
            <w:r>
              <w:rPr>
                <w:color w:val="626262"/>
                <w:sz w:val="20"/>
                <w:szCs w:val="20"/>
              </w:rPr>
              <w:t> </w:t>
            </w:r>
          </w:p>
          <w:p w:rsidR="00BB1376" w:rsidRDefault="00BB1376" w:rsidP="00BB1376">
            <w:pPr>
              <w:pStyle w:val="a3"/>
              <w:jc w:val="both"/>
              <w:rPr>
                <w:color w:val="626262"/>
                <w:sz w:val="20"/>
                <w:szCs w:val="20"/>
              </w:rPr>
            </w:pPr>
            <w:r>
              <w:rPr>
                <w:rStyle w:val="a4"/>
                <w:color w:val="626262"/>
                <w:sz w:val="20"/>
                <w:szCs w:val="20"/>
              </w:rPr>
              <w:t>Прибыли и убытки (параграфы 55-57)</w:t>
            </w:r>
          </w:p>
          <w:p w:rsidR="00BB1376" w:rsidRDefault="00BB1376" w:rsidP="00BB1376">
            <w:pPr>
              <w:pStyle w:val="a3"/>
              <w:jc w:val="both"/>
              <w:rPr>
                <w:color w:val="626262"/>
                <w:sz w:val="20"/>
                <w:szCs w:val="20"/>
              </w:rPr>
            </w:pPr>
            <w:r>
              <w:rPr>
                <w:color w:val="626262"/>
                <w:sz w:val="20"/>
                <w:szCs w:val="20"/>
              </w:rPr>
              <w:t xml:space="preserve">AG83     Предприятие применяет МСФО (IAS) 21 к тем финансовым активам и финансовым обязательствам, которые являются монетарными статьями в соответствии с МСФО (IAS) 21 и выражены в иностранной валюте. Согласно МСФО (IAS) 21 положительные и отрицательные курсовые разницы по монетарным активам и монетарным обязательствам признаются в составе прибыли или убытка. Исключение составляет монетарная статья, определенная в качестве инструмента хеджирования при хеджировании денежных потоков (см. параграфы 95-101) или хеджировании чистой инвестиции (см. параграф 102). Для целей признания положительных и отрицательных курсовых разниц в соответствии с МСФО (IAS) 21 монетарный финансовый актив, имеющийся в наличии для продажи, учитывается так, как если бы он учитывался по амортизированной стоимости в иностранной валюте. Соответственно, курсовые разницы, возникающие в </w:t>
            </w:r>
            <w:r>
              <w:rPr>
                <w:color w:val="626262"/>
                <w:sz w:val="20"/>
                <w:szCs w:val="20"/>
              </w:rPr>
              <w:lastRenderedPageBreak/>
              <w:t>результате изменений в амортизированной стоимости такого финансового актива, признаются в составе прибыли или убытка, а другие изменения балансовой стоимости признаются в соответствии с параграфом 55(b). Для финансовых активов, которые имеются в наличии для продажи и не являются монетарными статьями согласно МСФО (IAS) 21 (например, долевые инструменты), доход или убыток, который напрямую относится на собственный капитал в соответствии с параграфом 55(b), включает валютный компонент. Если между монетарным активом, являющимся непроизводным инструментом, и монетарным обязательством, являющимся непроизводным инструментом, существует отношение хеджирования, то изменения в валютном компоненте этих финансовых инструментов признаются в составе прибыли или убытка.</w:t>
            </w:r>
          </w:p>
          <w:p w:rsidR="00BB1376" w:rsidRDefault="00BB1376" w:rsidP="00BB1376">
            <w:pPr>
              <w:pStyle w:val="a3"/>
              <w:jc w:val="both"/>
              <w:rPr>
                <w:color w:val="626262"/>
                <w:sz w:val="20"/>
                <w:szCs w:val="20"/>
              </w:rPr>
            </w:pPr>
            <w:r>
              <w:rPr>
                <w:color w:val="626262"/>
                <w:sz w:val="20"/>
                <w:szCs w:val="20"/>
              </w:rPr>
              <w:t> </w:t>
            </w:r>
          </w:p>
          <w:p w:rsidR="00BB1376" w:rsidRDefault="00BB1376" w:rsidP="00BB1376">
            <w:pPr>
              <w:pStyle w:val="a3"/>
              <w:jc w:val="both"/>
              <w:rPr>
                <w:color w:val="626262"/>
                <w:sz w:val="20"/>
                <w:szCs w:val="20"/>
              </w:rPr>
            </w:pPr>
            <w:r>
              <w:rPr>
                <w:rStyle w:val="a4"/>
                <w:color w:val="626262"/>
                <w:sz w:val="20"/>
                <w:szCs w:val="20"/>
              </w:rPr>
              <w:t>Обесценение и безнадежная задолженность по финансовым активам</w:t>
            </w:r>
            <w:r>
              <w:rPr>
                <w:rStyle w:val="apple-converted-space"/>
                <w:b/>
                <w:bCs/>
                <w:color w:val="626262"/>
                <w:sz w:val="20"/>
                <w:szCs w:val="20"/>
              </w:rPr>
              <w:t> </w:t>
            </w:r>
            <w:r>
              <w:rPr>
                <w:b/>
                <w:bCs/>
                <w:color w:val="626262"/>
                <w:sz w:val="20"/>
                <w:szCs w:val="20"/>
              </w:rPr>
              <w:br/>
            </w:r>
            <w:r>
              <w:rPr>
                <w:rStyle w:val="a4"/>
                <w:color w:val="626262"/>
                <w:sz w:val="20"/>
                <w:szCs w:val="20"/>
              </w:rPr>
              <w:t>(параграфы 58-70)</w:t>
            </w:r>
          </w:p>
          <w:p w:rsidR="00BB1376" w:rsidRDefault="00BB1376" w:rsidP="00BB1376">
            <w:pPr>
              <w:pStyle w:val="a3"/>
              <w:jc w:val="both"/>
              <w:rPr>
                <w:color w:val="626262"/>
                <w:sz w:val="20"/>
                <w:szCs w:val="20"/>
              </w:rPr>
            </w:pPr>
            <w:r>
              <w:rPr>
                <w:rStyle w:val="a4"/>
                <w:color w:val="626262"/>
                <w:sz w:val="20"/>
                <w:szCs w:val="20"/>
              </w:rPr>
              <w:t>Финансовые активы, учитываемые по амортизированной стоимости (параграфы 63-65)</w:t>
            </w:r>
          </w:p>
          <w:p w:rsidR="00BB1376" w:rsidRDefault="00BB1376" w:rsidP="00BB1376">
            <w:pPr>
              <w:pStyle w:val="a3"/>
              <w:jc w:val="both"/>
              <w:rPr>
                <w:color w:val="626262"/>
                <w:sz w:val="20"/>
                <w:szCs w:val="20"/>
              </w:rPr>
            </w:pPr>
            <w:r>
              <w:rPr>
                <w:color w:val="626262"/>
                <w:sz w:val="20"/>
                <w:szCs w:val="20"/>
              </w:rPr>
              <w:t>AG84     Обесценение финансового актива, учитываемого по амортизированной стоимости, измеряется с использованием первоначальной эффективной ставки процента по финансовому инструменту, так как дисконтирование по текущей рыночной ставке процента фактически означало бы применение измерения по справедливой стоимости к финансовым активам, которые измеряются по амортизированной стоимости. Если условия займа, дебиторской задолженности или инвестиции, удерживаемой до погашения, пересматриваются или изменяются из-за финансовых затруднений заемщика или эмитента, то обесценение измеряется с использованием первоначальной эффективной ставки процента до изменения условий. Потоки денежных средств, относящиеся к краткосрочной дебиторской задолженности, не дисконтируются, если эффект от дисконтирования незначителен. Если ставка процента по займу, дебиторской задолженности или удерживаемым до погашения инвестициям является переменной, то в качестве ставки дисконтирования, используемой для измерения убытка от обесценения согласно параграфу 63, применяется текущая эффективная процентная ставка (ставки), устанавливаемая в соответствии с договором. Исходя из практической целесообразности, кредитор может измерить обесценение финансового актива, учитываемого по амортизированной стоимости, на основе справедливой стоимости инструмента, используя информацию о наблюдаемой рыночной цене. Расчет приведенной стоимости предполагаемых будущих потоков денежных средств по финансовому активу, обеспеченному залогом, отражает потоки денежных средств, которые могут возникнуть в результате обращения взыскания на залог за вычетом затрат на получение и продажу залога, независимо от того, есть ли вероятность обращения взыскания на залог.</w:t>
            </w:r>
          </w:p>
          <w:p w:rsidR="00BB1376" w:rsidRDefault="00BB1376" w:rsidP="00BB1376">
            <w:pPr>
              <w:pStyle w:val="a3"/>
              <w:jc w:val="both"/>
              <w:rPr>
                <w:color w:val="626262"/>
                <w:sz w:val="20"/>
                <w:szCs w:val="20"/>
              </w:rPr>
            </w:pPr>
            <w:r>
              <w:rPr>
                <w:color w:val="626262"/>
                <w:sz w:val="20"/>
                <w:szCs w:val="20"/>
              </w:rPr>
              <w:t>AG85     Процесс расчета обесценения учитывает подверженность всем видам кредитного риска, а не только подверженность риску низкого кредитного качества. Например, если предприятие использует систему внутренней кредитной классификации, оно учитывает все группы кредитного риска, а не только те, которые указывают на серьезное ухудшение кредитоспособности.</w:t>
            </w:r>
          </w:p>
          <w:p w:rsidR="00BB1376" w:rsidRDefault="00BB1376" w:rsidP="00BB1376">
            <w:pPr>
              <w:pStyle w:val="a3"/>
              <w:jc w:val="both"/>
              <w:rPr>
                <w:color w:val="626262"/>
                <w:sz w:val="20"/>
                <w:szCs w:val="20"/>
              </w:rPr>
            </w:pPr>
            <w:r>
              <w:rPr>
                <w:color w:val="626262"/>
                <w:sz w:val="20"/>
                <w:szCs w:val="20"/>
              </w:rPr>
              <w:t>AG86     Процесс расчета суммы убытка от обесценения может привести к получению либо одной суммы, либо диапазона возможных сумм. В последнем случае предприятие признает убыток от обесценения, равный наилучшей расчетной оценке в пределах диапазона</w:t>
            </w:r>
            <w:bookmarkStart w:id="5" w:name="_ftnref6"/>
            <w:r>
              <w:rPr>
                <w:color w:val="626262"/>
                <w:sz w:val="20"/>
                <w:szCs w:val="20"/>
              </w:rPr>
              <w:fldChar w:fldCharType="begin"/>
            </w:r>
            <w:r>
              <w:rPr>
                <w:color w:val="626262"/>
                <w:sz w:val="20"/>
                <w:szCs w:val="20"/>
              </w:rPr>
              <w:instrText xml:space="preserve"> HYPERLINK "http://www.kz-adviser.kz/official/32-ifrs/207-ias39" \l "_ftn6" </w:instrText>
            </w:r>
            <w:r>
              <w:rPr>
                <w:color w:val="626262"/>
                <w:sz w:val="20"/>
                <w:szCs w:val="20"/>
              </w:rPr>
              <w:fldChar w:fldCharType="separate"/>
            </w:r>
            <w:r>
              <w:rPr>
                <w:rStyle w:val="a6"/>
                <w:sz w:val="20"/>
                <w:szCs w:val="20"/>
              </w:rPr>
              <w:t>[6]</w:t>
            </w:r>
            <w:r>
              <w:rPr>
                <w:color w:val="626262"/>
                <w:sz w:val="20"/>
                <w:szCs w:val="20"/>
              </w:rPr>
              <w:fldChar w:fldCharType="end"/>
            </w:r>
            <w:bookmarkEnd w:id="5"/>
            <w:r>
              <w:rPr>
                <w:color w:val="626262"/>
                <w:sz w:val="20"/>
                <w:szCs w:val="20"/>
              </w:rPr>
              <w:t>, принимая во внимание всю имеющуюся до выпуска финансовой отчетности информацию об условиях, существующих на отчетную дату.</w:t>
            </w:r>
          </w:p>
          <w:p w:rsidR="00BB1376" w:rsidRDefault="00BB1376" w:rsidP="00BB1376">
            <w:pPr>
              <w:pStyle w:val="a3"/>
              <w:jc w:val="both"/>
              <w:rPr>
                <w:color w:val="626262"/>
                <w:sz w:val="20"/>
                <w:szCs w:val="20"/>
              </w:rPr>
            </w:pPr>
            <w:r>
              <w:rPr>
                <w:color w:val="626262"/>
                <w:sz w:val="20"/>
                <w:szCs w:val="20"/>
              </w:rPr>
              <w:t>AG87     Для целей совокупной оценки обесценения финансовые активы объединяются в группы по схожим характеристикам кредитного риска, которые отражают способность дебитора выплачивать все причитающиеся суммы в соответствии с договорными условиями (например, на основе оценки кредитного риска или процесса классификации, при котором учитывается вид актива, отрасль, географическое положение, вид залога, статус просроченной задолженности и другие уместные факторы). Выбранные характеристики уместны для расчета будущих потоков денежных средств для групп таких активов, поскольку они отражают способность дебитора выплачивать все причитающиеся суммы в соответствии с договорными условиями по оцениваемым активам. Однако вероятность убытков и другая статистика по убыткам различается внутри группы между (а) активами, которые индивидуально оценивались на обесценение и по которым было установлено, что они не обесценились, и (b) активами, которые индивидуально не оценивались на обесценение, в результате чего может потребоваться другая сумма обесценения. Если предприятие не имеет группу активов со схожими характеристиками риска, оно не проводит дополнительную оценку.</w:t>
            </w:r>
          </w:p>
          <w:p w:rsidR="00BB1376" w:rsidRDefault="00BB1376" w:rsidP="00BB1376">
            <w:pPr>
              <w:pStyle w:val="a3"/>
              <w:jc w:val="both"/>
              <w:rPr>
                <w:color w:val="626262"/>
                <w:sz w:val="20"/>
                <w:szCs w:val="20"/>
              </w:rPr>
            </w:pPr>
            <w:r>
              <w:rPr>
                <w:color w:val="626262"/>
                <w:sz w:val="20"/>
                <w:szCs w:val="20"/>
              </w:rPr>
              <w:t xml:space="preserve">AG88     Убытки от обесценения, признанные на групповой основе, представляют собой промежуточный </w:t>
            </w:r>
            <w:r>
              <w:rPr>
                <w:color w:val="626262"/>
                <w:sz w:val="20"/>
                <w:szCs w:val="20"/>
              </w:rPr>
              <w:lastRenderedPageBreak/>
              <w:t>шаг до определения убытков от обесценения по отдельным активам в группе финансовых активов, которые вместе проходят оценку на обесценение. Как только становится доступной информация, позволяющая конкретно определить убытки от отдельно обесценившихся активов внутри группы, эти активы исключаются из группы.</w:t>
            </w:r>
          </w:p>
          <w:p w:rsidR="00BB1376" w:rsidRDefault="00BB1376" w:rsidP="00BB1376">
            <w:pPr>
              <w:pStyle w:val="a3"/>
              <w:jc w:val="both"/>
              <w:rPr>
                <w:color w:val="626262"/>
                <w:sz w:val="20"/>
                <w:szCs w:val="20"/>
              </w:rPr>
            </w:pPr>
            <w:r>
              <w:rPr>
                <w:color w:val="626262"/>
                <w:sz w:val="20"/>
                <w:szCs w:val="20"/>
              </w:rPr>
              <w:t>AG89     Будущие потоки денежных средств в группе финансовых активов, которые вместе оцениваются на обесценение, рассчитываются на основе прошлого опыта возникновения убытков по активам, имеющим характеристики кредитного риска, схожие с таковыми в группе. Предприятия, которые не имеют собственного опыта возникновения убытков или имеют недостаточный опыт, используют опыт предприятий того же уровня для сопоставимых групп финансовых активов. Прошлый опыт возникновения убытков корректируется на основе наблюдаемых текущих данных, для того чтобы отразить влияние текущих условий, не влияющих на период, к которому относится прошлый опыт возникновения убытков, и исключить влияние условий прошлого периода, которые отсутствуют в настоящий момент. Расчетные оценки изменений будущих потоков денежных средств отражают и имеют общую направленность с изменениями в соответствующих наблюдаемых данных из периода в период (например, изменения уровня безработицы, цен на недвижимость, цен на товары, статус платежей или другие факторы, указывающие на возникновение убытков в группе и их размер). Методика и допущения, используемые для оценки будущих потоков денежных средств, регулярно пересматриваются, для того чтобы сократить различия между расчетными убытками и фактическим опытом возникновения убытков.</w:t>
            </w:r>
          </w:p>
          <w:p w:rsidR="00BB1376" w:rsidRDefault="00BB1376" w:rsidP="00BB1376">
            <w:pPr>
              <w:pStyle w:val="a3"/>
              <w:jc w:val="both"/>
              <w:rPr>
                <w:color w:val="626262"/>
                <w:sz w:val="20"/>
                <w:szCs w:val="20"/>
              </w:rPr>
            </w:pPr>
            <w:r>
              <w:rPr>
                <w:color w:val="626262"/>
                <w:sz w:val="20"/>
                <w:szCs w:val="20"/>
              </w:rPr>
              <w:t>AG90     Примером применения параграфа AG89 является ситуация, когда предприятие на основе прошлого опыта может определить, что одной из основных причин невыполнения обязательств по займам по кредитным карточкам является смерть заемщика. Предприятие может наблюдать, что уровень смертности не меняется из года в год. Тем не менее, некоторые заемщики в группе займов по кредитным карточкам, имеющейся у предприятия, могли умереть в этом году, что указывает на возникновение убытка от обесценения по этим займам, несмотря на то, что на конец года предприятие еще не знает, кто именно из заемщиков умер. Будет правильным признать убыток от обесценения по таким «возникшим, но не отраженным» убыткам. Однако будет неправильным признавать убыток от обесценения по случаям смертей, которые ожидаются в будущем периоде, поскольку необходимое событие возникновения убытка (смерть заемщика) еще не наступило.</w:t>
            </w:r>
          </w:p>
          <w:p w:rsidR="00BB1376" w:rsidRDefault="00BB1376" w:rsidP="00BB1376">
            <w:pPr>
              <w:pStyle w:val="a3"/>
              <w:jc w:val="both"/>
              <w:rPr>
                <w:color w:val="626262"/>
                <w:sz w:val="20"/>
                <w:szCs w:val="20"/>
              </w:rPr>
            </w:pPr>
            <w:r>
              <w:rPr>
                <w:color w:val="626262"/>
                <w:sz w:val="20"/>
                <w:szCs w:val="20"/>
              </w:rPr>
              <w:t>AG91     Если при оценке будущих потоков денежных средств используется информация о прошлых уровнях убытков, важно, чтобы эта информация применялась к группам, которые определяются соответственно группам, по которым наблюдались прошлые уровни убытков. Таким образом, используемый метод должен связать каждую группу с информацией о прошлом опыте возникновения убытков в группах активов, имеющих аналогичные характеристики кредитного риска, а также с уместной наблюдаемой информацией, отражающей текущие условия.</w:t>
            </w:r>
          </w:p>
          <w:p w:rsidR="00BB1376" w:rsidRDefault="00BB1376" w:rsidP="00BB1376">
            <w:pPr>
              <w:pStyle w:val="a3"/>
              <w:jc w:val="both"/>
              <w:rPr>
                <w:color w:val="626262"/>
                <w:sz w:val="20"/>
                <w:szCs w:val="20"/>
              </w:rPr>
            </w:pPr>
            <w:r>
              <w:rPr>
                <w:color w:val="626262"/>
                <w:sz w:val="20"/>
                <w:szCs w:val="20"/>
              </w:rPr>
              <w:t>AG92     Для определения убытков от обесценения в группе финансовых активов (например, займы с небольшим остатком) могут применяться подходы с использованием формул или статистические методы при условии, что они соответствуют требованиям параграфов 63-65 и AG87-AG91. Используемая модель должна учитывать влияние временной стоимости денег, учитывать движение денежных средств для всего оставшегося срока использования актива (не только следующий год), учитывать срок займов в портфеле и не будет приводить к убытку от обесценения при первоначальном признании финансового актива.</w:t>
            </w:r>
          </w:p>
          <w:p w:rsidR="00BB1376" w:rsidRDefault="00BB1376" w:rsidP="00BB1376">
            <w:pPr>
              <w:pStyle w:val="a3"/>
              <w:jc w:val="both"/>
              <w:rPr>
                <w:color w:val="626262"/>
                <w:sz w:val="20"/>
                <w:szCs w:val="20"/>
              </w:rPr>
            </w:pPr>
            <w:r>
              <w:rPr>
                <w:color w:val="626262"/>
                <w:sz w:val="20"/>
                <w:szCs w:val="20"/>
              </w:rPr>
              <w:t> </w:t>
            </w:r>
          </w:p>
          <w:p w:rsidR="00BB1376" w:rsidRDefault="00BB1376" w:rsidP="00BB1376">
            <w:pPr>
              <w:pStyle w:val="a3"/>
              <w:jc w:val="both"/>
              <w:rPr>
                <w:color w:val="626262"/>
                <w:sz w:val="20"/>
                <w:szCs w:val="20"/>
              </w:rPr>
            </w:pPr>
            <w:r>
              <w:rPr>
                <w:rStyle w:val="a4"/>
                <w:color w:val="626262"/>
                <w:sz w:val="20"/>
                <w:szCs w:val="20"/>
              </w:rPr>
              <w:t>Процентный доход после признания обесценения</w:t>
            </w:r>
          </w:p>
          <w:p w:rsidR="00BB1376" w:rsidRDefault="00BB1376" w:rsidP="00BB1376">
            <w:pPr>
              <w:pStyle w:val="a3"/>
              <w:jc w:val="both"/>
              <w:rPr>
                <w:color w:val="626262"/>
                <w:sz w:val="20"/>
                <w:szCs w:val="20"/>
              </w:rPr>
            </w:pPr>
            <w:r>
              <w:rPr>
                <w:color w:val="626262"/>
                <w:sz w:val="20"/>
                <w:szCs w:val="20"/>
              </w:rPr>
              <w:t>AG93     Начиная с момента частичного списания стоимости финансового актива или группы аналогичных финансовых активов в результате убытка от обесценения, процентный доход признается на основе процентной ставки, используемой для дисконтирования будущих потоков денежных средств в целях измерения убытка от обесценения.</w:t>
            </w:r>
          </w:p>
          <w:p w:rsidR="00BB1376" w:rsidRDefault="00BB1376" w:rsidP="00BB1376">
            <w:pPr>
              <w:pStyle w:val="a3"/>
              <w:jc w:val="both"/>
              <w:rPr>
                <w:color w:val="626262"/>
                <w:sz w:val="20"/>
                <w:szCs w:val="20"/>
              </w:rPr>
            </w:pPr>
            <w:r>
              <w:rPr>
                <w:color w:val="626262"/>
                <w:sz w:val="20"/>
                <w:szCs w:val="20"/>
              </w:rPr>
              <w:t> </w:t>
            </w:r>
          </w:p>
          <w:p w:rsidR="00BB1376" w:rsidRDefault="00BB1376" w:rsidP="00BB1376">
            <w:pPr>
              <w:pStyle w:val="a3"/>
              <w:jc w:val="both"/>
              <w:rPr>
                <w:color w:val="626262"/>
                <w:sz w:val="20"/>
                <w:szCs w:val="20"/>
              </w:rPr>
            </w:pPr>
            <w:r>
              <w:rPr>
                <w:rStyle w:val="a4"/>
                <w:color w:val="626262"/>
                <w:sz w:val="20"/>
                <w:szCs w:val="20"/>
              </w:rPr>
              <w:t>Хеджирование (параграфы 71-102)</w:t>
            </w:r>
          </w:p>
          <w:p w:rsidR="00BB1376" w:rsidRDefault="00BB1376" w:rsidP="00BB1376">
            <w:pPr>
              <w:pStyle w:val="a3"/>
              <w:jc w:val="both"/>
              <w:rPr>
                <w:color w:val="626262"/>
                <w:sz w:val="20"/>
                <w:szCs w:val="20"/>
              </w:rPr>
            </w:pPr>
            <w:r>
              <w:rPr>
                <w:rStyle w:val="a4"/>
                <w:color w:val="626262"/>
                <w:sz w:val="20"/>
                <w:szCs w:val="20"/>
              </w:rPr>
              <w:t>Инструменты хеджирования (параграфы 72-77)</w:t>
            </w:r>
          </w:p>
          <w:p w:rsidR="00BB1376" w:rsidRDefault="00BB1376" w:rsidP="00BB1376">
            <w:pPr>
              <w:pStyle w:val="a3"/>
              <w:jc w:val="both"/>
              <w:rPr>
                <w:color w:val="626262"/>
                <w:sz w:val="20"/>
                <w:szCs w:val="20"/>
              </w:rPr>
            </w:pPr>
            <w:r>
              <w:rPr>
                <w:rStyle w:val="a4"/>
                <w:color w:val="626262"/>
                <w:sz w:val="20"/>
                <w:szCs w:val="20"/>
              </w:rPr>
              <w:lastRenderedPageBreak/>
              <w:t>Инструменты, отвечающие определенным требованиям (параграфы 72 и 73)</w:t>
            </w:r>
          </w:p>
          <w:p w:rsidR="00BB1376" w:rsidRDefault="00BB1376" w:rsidP="00BB1376">
            <w:pPr>
              <w:pStyle w:val="a3"/>
              <w:jc w:val="both"/>
              <w:rPr>
                <w:color w:val="626262"/>
                <w:sz w:val="20"/>
                <w:szCs w:val="20"/>
              </w:rPr>
            </w:pPr>
            <w:r>
              <w:rPr>
                <w:color w:val="626262"/>
                <w:sz w:val="20"/>
                <w:szCs w:val="20"/>
              </w:rPr>
              <w:t>AG94     Потенциальные убытки от опциона, выпущенного предприятием, могут быть значительно больше потенциального повышения стоимости соответствующей хеджируемой статьи. Другими словами, выпущенный опцион не эффективен для снижения риска изменения прибыли или убытка по хеджируемой статье. Поэтому выпущенный опцион не может удовлетворять требованиям к инструменту хеджирования, за исключением тех случаев, когда он определен в качестве компенсации приобретенного опциона, в том числе встроенного в другой финансовый инструмент (например, выпущенный опцион на покупку, используемый для хеджирования отзывного обязательства). И наоборот, приобретенный опцион имеет потенциальную прибыль равную или большую чем убыток и поэтому имеет возможность уменьшить риск прибыли или убытка от изменения справедливой стоимости или денежных потоков. Следовательно, он может удовлетворять требованиям к инструменту хеджирования.</w:t>
            </w:r>
          </w:p>
          <w:p w:rsidR="00BB1376" w:rsidRDefault="00BB1376" w:rsidP="00BB1376">
            <w:pPr>
              <w:pStyle w:val="a3"/>
              <w:jc w:val="both"/>
              <w:rPr>
                <w:color w:val="626262"/>
                <w:sz w:val="20"/>
                <w:szCs w:val="20"/>
              </w:rPr>
            </w:pPr>
            <w:r>
              <w:rPr>
                <w:color w:val="626262"/>
                <w:sz w:val="20"/>
                <w:szCs w:val="20"/>
              </w:rPr>
              <w:t>AG95     Удерживаемая до погашения инвестиция, учитываемая по амортизированной стоимости, может быть определена в качестве инструмента хеджирования при хеджировании валютных рисков.</w:t>
            </w:r>
          </w:p>
          <w:p w:rsidR="00BB1376" w:rsidRDefault="00BB1376" w:rsidP="00BB1376">
            <w:pPr>
              <w:pStyle w:val="a3"/>
              <w:jc w:val="both"/>
              <w:rPr>
                <w:color w:val="626262"/>
                <w:sz w:val="20"/>
                <w:szCs w:val="20"/>
              </w:rPr>
            </w:pPr>
            <w:r>
              <w:rPr>
                <w:color w:val="626262"/>
                <w:sz w:val="20"/>
                <w:szCs w:val="20"/>
              </w:rPr>
              <w:t>AG96     Инвестиция в некотируемый долевой инструмент, который не учитывается по справедливой стоимости, потому что его справедливая стоимость не может быть надежно измерена, или производный инструмент, который связан с таким некотируемым долевым инструментом и расчеты по которому должны осуществляться путем поставки такого некотируемого долевого инструмента (см. параграфы 46(с) и 47), не может быть определен в качестве инструмента хеджирования.</w:t>
            </w:r>
          </w:p>
          <w:p w:rsidR="00BB1376" w:rsidRDefault="00BB1376" w:rsidP="00BB1376">
            <w:pPr>
              <w:pStyle w:val="a3"/>
              <w:jc w:val="both"/>
              <w:rPr>
                <w:color w:val="626262"/>
                <w:sz w:val="20"/>
                <w:szCs w:val="20"/>
              </w:rPr>
            </w:pPr>
            <w:r>
              <w:rPr>
                <w:color w:val="626262"/>
                <w:sz w:val="20"/>
                <w:szCs w:val="20"/>
              </w:rPr>
              <w:t>AG97     Собственные долевые инструменты предприятия не являются его финансовыми активами или финансовыми обязательствами и, следовательно, не могут быть определены в качестве инструментов хеджирования.</w:t>
            </w:r>
          </w:p>
          <w:p w:rsidR="00BB1376" w:rsidRDefault="00BB1376" w:rsidP="00BB1376">
            <w:pPr>
              <w:pStyle w:val="a3"/>
              <w:jc w:val="both"/>
              <w:rPr>
                <w:color w:val="626262"/>
                <w:sz w:val="20"/>
                <w:szCs w:val="20"/>
              </w:rPr>
            </w:pPr>
            <w:r>
              <w:rPr>
                <w:color w:val="626262"/>
                <w:sz w:val="20"/>
                <w:szCs w:val="20"/>
              </w:rPr>
              <w:t> </w:t>
            </w:r>
          </w:p>
          <w:p w:rsidR="00BB1376" w:rsidRDefault="00BB1376" w:rsidP="00BB1376">
            <w:pPr>
              <w:pStyle w:val="a3"/>
              <w:jc w:val="both"/>
              <w:rPr>
                <w:color w:val="626262"/>
                <w:sz w:val="20"/>
                <w:szCs w:val="20"/>
              </w:rPr>
            </w:pPr>
            <w:r>
              <w:rPr>
                <w:rStyle w:val="a4"/>
                <w:color w:val="626262"/>
                <w:sz w:val="20"/>
                <w:szCs w:val="20"/>
              </w:rPr>
              <w:t>Хеджируемые статьи (параграфы 78-84)</w:t>
            </w:r>
          </w:p>
          <w:p w:rsidR="00BB1376" w:rsidRDefault="00BB1376" w:rsidP="00BB1376">
            <w:pPr>
              <w:pStyle w:val="a3"/>
              <w:jc w:val="both"/>
              <w:rPr>
                <w:color w:val="626262"/>
                <w:sz w:val="20"/>
                <w:szCs w:val="20"/>
              </w:rPr>
            </w:pPr>
            <w:r>
              <w:rPr>
                <w:rStyle w:val="a4"/>
                <w:color w:val="626262"/>
                <w:sz w:val="20"/>
                <w:szCs w:val="20"/>
              </w:rPr>
              <w:t>Статьи, отвечающие определенным требованиям (параграфы 78-80)</w:t>
            </w:r>
          </w:p>
          <w:p w:rsidR="00BB1376" w:rsidRDefault="00BB1376" w:rsidP="00BB1376">
            <w:pPr>
              <w:pStyle w:val="a3"/>
              <w:jc w:val="both"/>
              <w:rPr>
                <w:color w:val="626262"/>
                <w:sz w:val="20"/>
                <w:szCs w:val="20"/>
              </w:rPr>
            </w:pPr>
            <w:r>
              <w:rPr>
                <w:color w:val="626262"/>
                <w:sz w:val="20"/>
                <w:szCs w:val="20"/>
              </w:rPr>
              <w:t>AG98     Твердое обязательство приобрести бизнес в ходе объединения бизнеса не может являться хеджируемой статьей, за исключением валютного риска. Это связано с тем, что не представляется возможным точно установить и измерить другие хеджируемые риски. Эти другие риски являются общими деловыми рисками.</w:t>
            </w:r>
          </w:p>
          <w:p w:rsidR="00BB1376" w:rsidRDefault="00BB1376" w:rsidP="00BB1376">
            <w:pPr>
              <w:pStyle w:val="a3"/>
              <w:jc w:val="both"/>
              <w:rPr>
                <w:color w:val="626262"/>
                <w:sz w:val="20"/>
                <w:szCs w:val="20"/>
              </w:rPr>
            </w:pPr>
            <w:r>
              <w:rPr>
                <w:color w:val="626262"/>
                <w:sz w:val="20"/>
                <w:szCs w:val="20"/>
              </w:rPr>
              <w:t>AG99     Инвестиция, учтенная по методу долевого участия, не может быть хеджируемой статьей при хеджировании справедливой стоимости, так как в рамках метода долевого участия в составе прибыли или убытка признается доля участия инвестора в прибыли или убытке ассоциированного предприятия, а не изменения справедливой стоимости инвестиции. По той же причине инвестиция в консолидированное дочернее предприятие не может быть хеджируемой статьей при хеджировании справедливой стоимости, так как при консолидации в составе прибыли или убытка признается прибыль или убыток дочернего предприятия, а не изменения справедливой стоимости инвестиции. Иначе обстоит дело с хеджированием чистой инвестиции в зарубежную деятельность, так как оно является хеджированием валютного риска, а не хеджированием справедливой стоимости изменения в стоимости инвестиции.</w:t>
            </w:r>
          </w:p>
          <w:p w:rsidR="00BB1376" w:rsidRDefault="00BB1376" w:rsidP="00BB1376">
            <w:pPr>
              <w:pStyle w:val="a3"/>
              <w:jc w:val="both"/>
              <w:rPr>
                <w:color w:val="626262"/>
                <w:sz w:val="20"/>
                <w:szCs w:val="20"/>
              </w:rPr>
            </w:pPr>
            <w:r>
              <w:rPr>
                <w:color w:val="626262"/>
                <w:sz w:val="20"/>
                <w:szCs w:val="20"/>
              </w:rPr>
              <w:t xml:space="preserve">AG99A  Согласно пункту 80 в консолидированной финансовой отчетности валютный риск по весьма вероятной прогнозируемой внутригрупповой сделке может удовлетворять критериям хеджируемой статьи при хеджировании потоков денежных средств, при условии что такая сделка выражена в валюте, отличной от функциональной валюты предприятия, заключающего сделку, а валютный риск повлияет на консолидированную прибыль или консолидированный убыток. В целях вышеизложенного положения предприятие может являться материнским предприятием, дочерним предприятием, ассоциированным предприятием, совместным предприятием или филиалом. Если валютный риск по прогнозируемой внутригрупповой сделке не влияет на консолидированную прибыль или консолидированный убыток, то внутригрупповая сделка не удовлетворяет критериям хеджируемой статьи. Это обычно справедливо в отношении выплат роялти, процентов и комиссий за управление в отношениях между членами одной и той же группы при отсутствии связанной с ними внешней сделки. Тем не менее, если валютный риск по прогнозируемой внутригрупповой сделке влияет на консолидированную прибыль или консолидированный убыток, то внутригрупповая сделка может классифицироваться как хеджируемая статья. В качестве примера можно рассмотреть прогнозируемые продажи или покупки запасов между членами одной и той же группы с </w:t>
            </w:r>
            <w:r>
              <w:rPr>
                <w:color w:val="626262"/>
                <w:sz w:val="20"/>
                <w:szCs w:val="20"/>
              </w:rPr>
              <w:lastRenderedPageBreak/>
              <w:t>последующей продажей запасов стороне, которая является внешней по отношению к группе. Аналогичным образом, прогнозируемая внутригрупповая продажа оборудования, где продавцом является участник группы, производящий такое оборудование, а покупателем - другой участник группы, который будет использовать это оборудование в своей деятельности, может повлиять на консолидированную прибыль или консолидированный убыток. Например, это может произойти в результате амортизации оборудования предприятием-покупателем и изменения первоначально признанной стоимости оборудования в случае, если прогнозируемая внутригрупповая сделка выражена в валюте, отличной от функциональной валюты предприятия-покупателя.</w:t>
            </w:r>
          </w:p>
          <w:p w:rsidR="00BB1376" w:rsidRDefault="00BB1376" w:rsidP="00BB1376">
            <w:pPr>
              <w:pStyle w:val="a3"/>
              <w:jc w:val="both"/>
              <w:rPr>
                <w:color w:val="626262"/>
                <w:sz w:val="20"/>
                <w:szCs w:val="20"/>
              </w:rPr>
            </w:pPr>
            <w:r>
              <w:rPr>
                <w:color w:val="626262"/>
                <w:sz w:val="20"/>
                <w:szCs w:val="20"/>
              </w:rPr>
              <w:t>AG99B  Если хеджирование прогнозируемой внутригрупповой сделки удовлетворяет критериям для учета хеджирования, любая прибыль или любой убыток, признанные непосредственно в составе собственного капитала в соответствии с пунктом 95(a), должны быть реклассифицированы в прибыль или убыток за тот же период или периоды, в течение которых валютный риск по хеджируемой сделке влияет на консолидированную прибыль или консолидированный убыток.</w:t>
            </w:r>
          </w:p>
          <w:p w:rsidR="00BB1376" w:rsidRDefault="00BB1376" w:rsidP="00BB1376">
            <w:pPr>
              <w:pStyle w:val="a3"/>
              <w:jc w:val="both"/>
              <w:rPr>
                <w:color w:val="626262"/>
                <w:sz w:val="20"/>
                <w:szCs w:val="20"/>
              </w:rPr>
            </w:pPr>
            <w:r>
              <w:rPr>
                <w:color w:val="626262"/>
                <w:sz w:val="20"/>
                <w:szCs w:val="20"/>
              </w:rPr>
              <w:t> </w:t>
            </w:r>
          </w:p>
          <w:p w:rsidR="00BB1376" w:rsidRDefault="00BB1376" w:rsidP="00BB1376">
            <w:pPr>
              <w:pStyle w:val="a3"/>
              <w:jc w:val="both"/>
              <w:rPr>
                <w:color w:val="626262"/>
                <w:sz w:val="20"/>
                <w:szCs w:val="20"/>
              </w:rPr>
            </w:pPr>
            <w:r>
              <w:rPr>
                <w:rStyle w:val="a4"/>
                <w:color w:val="626262"/>
                <w:sz w:val="20"/>
                <w:szCs w:val="20"/>
              </w:rPr>
              <w:t>Определение финансовых статей в качестве хеджируемых статей</w:t>
            </w:r>
            <w:r>
              <w:rPr>
                <w:rStyle w:val="apple-converted-space"/>
                <w:b/>
                <w:bCs/>
                <w:color w:val="626262"/>
                <w:sz w:val="20"/>
                <w:szCs w:val="20"/>
              </w:rPr>
              <w:t> </w:t>
            </w:r>
            <w:r>
              <w:rPr>
                <w:b/>
                <w:bCs/>
                <w:color w:val="626262"/>
                <w:sz w:val="20"/>
                <w:szCs w:val="20"/>
              </w:rPr>
              <w:br/>
            </w:r>
            <w:r>
              <w:rPr>
                <w:rStyle w:val="a4"/>
                <w:color w:val="626262"/>
                <w:sz w:val="20"/>
                <w:szCs w:val="20"/>
              </w:rPr>
              <w:t>(параграфы 81 и 81А)</w:t>
            </w:r>
          </w:p>
          <w:p w:rsidR="00BB1376" w:rsidRDefault="00BB1376" w:rsidP="00BB1376">
            <w:pPr>
              <w:pStyle w:val="a3"/>
              <w:jc w:val="both"/>
              <w:rPr>
                <w:color w:val="626262"/>
                <w:sz w:val="20"/>
                <w:szCs w:val="20"/>
              </w:rPr>
            </w:pPr>
            <w:r>
              <w:rPr>
                <w:color w:val="626262"/>
                <w:sz w:val="20"/>
                <w:szCs w:val="20"/>
              </w:rPr>
              <w:t>AG99C  Если часть денежных потоков от финансового актива или финансового обязательства определяется в качестве хеджируемой статьи, то эта определенная часть должна быть меньше суммарных денежных потоков от данного актива или обязательства. Например, в случае с обязательством, по которому эффективная ставка процента ниже ставки ЛИБОР, предприятие не может определять (а) часть обязательства, равную основной сумме плюс проценты по ставке ЛИБОР и (b) отрицательную оставшуюся часть. Однако предприятие может определить все денежные потоки от всего финансового актива или финансового обязательства в качестве хеджируемой статьи и хеджировать их только от одного конкретного риска (например, риска изменений, относимых на изменения ставки ЛИБОР). Например, в случае с финансовым обязательством, у которого эффективная ставка процента на 100 базисных пунктов ниже ставки ЛИБОР, предприятие может определить в качестве хеджируемой статьи все обязательство (т.е. основная сумма плюс проценты по ставке ЛИБОР минус 100 базисных пунктов) и хеджировать изменение справедливой стоимости или денежных потоков от всего обязательства, относимое на изменение ставки ЛИБОР. Предприятие также может выбрать коэффициент хеджирования, отличный от соотношения один к одному для того, чтобы повысить эффективность хеджирования как описано в параграфе AG100.</w:t>
            </w:r>
          </w:p>
          <w:p w:rsidR="00BB1376" w:rsidRDefault="00BB1376" w:rsidP="00BB1376">
            <w:pPr>
              <w:pStyle w:val="a3"/>
              <w:jc w:val="both"/>
              <w:rPr>
                <w:color w:val="626262"/>
                <w:sz w:val="20"/>
                <w:szCs w:val="20"/>
              </w:rPr>
            </w:pPr>
            <w:r>
              <w:rPr>
                <w:color w:val="626262"/>
                <w:sz w:val="20"/>
                <w:szCs w:val="20"/>
              </w:rPr>
              <w:t>AG99D  Кроме того, если финансовый инструмент с фиксированной ставкой хеджируется через некоторое время после возникновения и за это время процентные ставки изменились, то предприятие может определить часть, равную исходной ставке, которая выше договорной ставки, выплачиваемой по этой статье. Предприятие может сделать это при условии, что исходная ставка ниже эффективной процентной ставки, рассчитанной с учетом допущения о том, что предприятие купило инструмент в момент, когда оно впервые определяет хеджируемую статью. Например, предположим, что предприятие создает финансовый актив с фиксированной ставкой и величина этого актива составляет 100 д.е., а эффективная ставка процента по нему равна 6% в момент, когда ставка ЛИБОР равна 4%. Оно начинает хеджировать этот актив некоторое время спустя, когда ставка ЛИБОР повысилась до 8 процентов, а справедливая стоимость актива снизилась до 90 д.е. Согласно расчетам предприятия, если бы оно купило актив в момент, когда оно впервые определяет этот актив в качестве хеджируемой статьи по справедливой стоимости, равной на тот момент 90 д.е., то фактическая доходность составила бы 9,5 процентов. Так как ставка ЛИБОР ниже этой фактической доходности, предприятие может определить часть по ставке ЛИБОР, равной 8 процентам, которая частично состоит из денежных потоков по договорной ставке процента и частично из величины, равной разнице между текущей справедливой стоимостью (т.е. 90 д.е.) и суммой, выплачиваемой при наступлении срока (т.е. 100 д.е.).</w:t>
            </w:r>
          </w:p>
          <w:p w:rsidR="00BB1376" w:rsidRDefault="00BB1376" w:rsidP="00BB1376">
            <w:pPr>
              <w:pStyle w:val="a3"/>
              <w:jc w:val="both"/>
              <w:rPr>
                <w:color w:val="626262"/>
                <w:sz w:val="20"/>
                <w:szCs w:val="20"/>
              </w:rPr>
            </w:pPr>
            <w:r>
              <w:rPr>
                <w:color w:val="626262"/>
                <w:sz w:val="20"/>
                <w:szCs w:val="20"/>
              </w:rPr>
              <w:t> </w:t>
            </w:r>
          </w:p>
          <w:p w:rsidR="00BB1376" w:rsidRDefault="00BB1376" w:rsidP="00BB1376">
            <w:pPr>
              <w:pStyle w:val="a3"/>
              <w:jc w:val="both"/>
              <w:rPr>
                <w:color w:val="626262"/>
                <w:sz w:val="20"/>
                <w:szCs w:val="20"/>
              </w:rPr>
            </w:pPr>
            <w:r>
              <w:rPr>
                <w:rStyle w:val="a4"/>
                <w:color w:val="626262"/>
                <w:sz w:val="20"/>
                <w:szCs w:val="20"/>
              </w:rPr>
              <w:t>Определение нефинансовых статей в качестве хеджируемых статей (параграф 82)</w:t>
            </w:r>
          </w:p>
          <w:p w:rsidR="00BB1376" w:rsidRDefault="00BB1376" w:rsidP="00BB1376">
            <w:pPr>
              <w:pStyle w:val="a3"/>
              <w:jc w:val="both"/>
              <w:rPr>
                <w:color w:val="626262"/>
                <w:sz w:val="20"/>
                <w:szCs w:val="20"/>
              </w:rPr>
            </w:pPr>
            <w:r>
              <w:rPr>
                <w:color w:val="626262"/>
                <w:sz w:val="20"/>
                <w:szCs w:val="20"/>
              </w:rPr>
              <w:t xml:space="preserve">AG100   Изменения цены составной части или элемента нефинансового актива или нефинансового обязательства, как правило, не оказывают предсказуемого, отдельно измеримого влияния на цену всей статьи, которое сопоставимо, например, с влиянием изменения рыночных ставок процента на курс облигации. Таким образом, нефинансовый актив или нефинансовое обязательство является хеджируемой статьей только целиком или в той части, которая относится к валютному риску. Если существует разница </w:t>
            </w:r>
            <w:r>
              <w:rPr>
                <w:color w:val="626262"/>
                <w:sz w:val="20"/>
                <w:szCs w:val="20"/>
              </w:rPr>
              <w:lastRenderedPageBreak/>
              <w:t>между условиями инструмента хеджирования и хеджируемой статьи (например, при хеджировании прогнозируемой покупки бразильского кофе с использованием форвардного контракта на покупку колумбийского кофе на аналогичных условиях), отношения хеджирования все равно могут квалифицироваться как таковые при условии, что выполняются все условия параграфа 88, включая требование об ожидаемой высокой эффективности хеджирования. Для этих целей величина инструмента хеджирования может быть больше или меньше величины хеджируемой статьи, если это позволит повысить эффективность отношения хеджирования. Например, может быть выполнен регрессионный анализ для определения статистической связи между хеджируемой статьей (например, операция с бразильским кофе) и инструментом хеджирования (например, операция с колумбийским кофе). Если существует действительная статистическая взаимосвязь между двумя переменными (т.е. между ценами на единицу бразильского кофе и колумбийского кофе), то наклон линии регрессии можно использовать для определения коэффициента хеджирования, который максимизирует ожидаемую эффективность. Например, если наклон линии регрессии равен 1,02, то коэффициент хеджирования, основанный на отношении хеджируемых статей в количестве 0,98 к инструменту хеджирования в размере 1,00, максимизирует ожидаемую эффективность. Однако отношение хеджирования может привести к неэффективности, которая признается в составе прибыли или убытка в течение периода отношения хеджирования.</w:t>
            </w:r>
          </w:p>
          <w:p w:rsidR="00BB1376" w:rsidRDefault="00BB1376" w:rsidP="00BB1376">
            <w:pPr>
              <w:pStyle w:val="a3"/>
              <w:jc w:val="both"/>
              <w:rPr>
                <w:color w:val="626262"/>
                <w:sz w:val="20"/>
                <w:szCs w:val="20"/>
              </w:rPr>
            </w:pPr>
            <w:r>
              <w:rPr>
                <w:color w:val="626262"/>
                <w:sz w:val="20"/>
                <w:szCs w:val="20"/>
              </w:rPr>
              <w:t> </w:t>
            </w:r>
          </w:p>
          <w:p w:rsidR="00BB1376" w:rsidRDefault="00BB1376" w:rsidP="00BB1376">
            <w:pPr>
              <w:pStyle w:val="a3"/>
              <w:jc w:val="both"/>
              <w:rPr>
                <w:color w:val="626262"/>
                <w:sz w:val="20"/>
                <w:szCs w:val="20"/>
              </w:rPr>
            </w:pPr>
            <w:r>
              <w:rPr>
                <w:rStyle w:val="a4"/>
                <w:color w:val="626262"/>
                <w:sz w:val="20"/>
                <w:szCs w:val="20"/>
              </w:rPr>
              <w:t>Определение групп статей в качестве хеджируемых статей</w:t>
            </w:r>
            <w:r>
              <w:rPr>
                <w:rStyle w:val="apple-converted-space"/>
                <w:b/>
                <w:bCs/>
                <w:color w:val="626262"/>
                <w:sz w:val="20"/>
                <w:szCs w:val="20"/>
              </w:rPr>
              <w:t> </w:t>
            </w:r>
            <w:r>
              <w:rPr>
                <w:b/>
                <w:bCs/>
                <w:color w:val="626262"/>
                <w:sz w:val="20"/>
                <w:szCs w:val="20"/>
              </w:rPr>
              <w:br/>
            </w:r>
            <w:r>
              <w:rPr>
                <w:rStyle w:val="a4"/>
                <w:color w:val="626262"/>
                <w:sz w:val="20"/>
                <w:szCs w:val="20"/>
              </w:rPr>
              <w:t>(параграфы 83 и 84)</w:t>
            </w:r>
          </w:p>
          <w:p w:rsidR="00BB1376" w:rsidRDefault="00BB1376" w:rsidP="00BB1376">
            <w:pPr>
              <w:pStyle w:val="a3"/>
              <w:jc w:val="both"/>
              <w:rPr>
                <w:color w:val="626262"/>
                <w:sz w:val="20"/>
                <w:szCs w:val="20"/>
              </w:rPr>
            </w:pPr>
            <w:r>
              <w:rPr>
                <w:color w:val="626262"/>
                <w:sz w:val="20"/>
                <w:szCs w:val="20"/>
              </w:rPr>
              <w:t>AG101   Хеджирование общей чистой позиции (например, нетто-величины всех активов и обязательств с фиксированной ставкой, имеющих одинаковые сроки погашения), а не конкретной хеджируемой статьи, не удовлетворяет требованиям учета хеджирования. Однако можно достичь почти такого же воздействия на прибыль или убыток при учете хеджирования для этого типа отношений хеджирования, определив часть лежащих в основе статей в качестве хеджируемой статьи. Например, активы банка составляют 100 д.е., а обязательства с аналогичными рисками и условиями - 90 д.е. Если банк хеджирует сальдо в размере 10 д.е., он может определить в качестве хеджируемой статьи активы в сумме 10 д.е. Данное определение может быть использовано в случае, если такие активы и обязательства являются инструментами с фиксированной ставкой процента; в этом случае это - хеджирование справедливой стоимости, или в случае, если они являются инструментами с переменной ставкой процента, тогда это - хеджирование потоков денежных средств. Точно так же, если у предприятия имеется твердое соглашение осуществить покупку в иностранной валюте на сумму 100 д.е. и твердое соглашение осуществить продажу в иностранной валюте на сумму 90 д.е., то оно может хеджировать нетто-величину 10 д.е. путем приобретения производного инструмента и определения его в качестве инструмента хеджирования, связанного с 10 д.е., которые являются частью твердого соглашения осуществить покупку в размере 100 д.е.</w:t>
            </w:r>
          </w:p>
          <w:p w:rsidR="00BB1376" w:rsidRDefault="00BB1376" w:rsidP="00BB1376">
            <w:pPr>
              <w:pStyle w:val="a3"/>
              <w:jc w:val="both"/>
              <w:rPr>
                <w:color w:val="626262"/>
                <w:sz w:val="20"/>
                <w:szCs w:val="20"/>
              </w:rPr>
            </w:pPr>
            <w:r>
              <w:rPr>
                <w:color w:val="626262"/>
                <w:sz w:val="20"/>
                <w:szCs w:val="20"/>
              </w:rPr>
              <w:t> </w:t>
            </w:r>
          </w:p>
          <w:p w:rsidR="00BB1376" w:rsidRDefault="00BB1376" w:rsidP="00BB1376">
            <w:pPr>
              <w:pStyle w:val="a3"/>
              <w:jc w:val="both"/>
              <w:rPr>
                <w:color w:val="626262"/>
                <w:sz w:val="20"/>
                <w:szCs w:val="20"/>
              </w:rPr>
            </w:pPr>
            <w:r>
              <w:rPr>
                <w:rStyle w:val="a4"/>
                <w:color w:val="626262"/>
                <w:sz w:val="20"/>
                <w:szCs w:val="20"/>
              </w:rPr>
              <w:t>Учет операций хеджирования (параграфы 85-102)</w:t>
            </w:r>
          </w:p>
          <w:p w:rsidR="00BB1376" w:rsidRDefault="00BB1376" w:rsidP="00BB1376">
            <w:pPr>
              <w:pStyle w:val="a3"/>
              <w:jc w:val="both"/>
              <w:rPr>
                <w:color w:val="626262"/>
                <w:sz w:val="20"/>
                <w:szCs w:val="20"/>
              </w:rPr>
            </w:pPr>
            <w:r>
              <w:rPr>
                <w:color w:val="626262"/>
                <w:sz w:val="20"/>
                <w:szCs w:val="20"/>
              </w:rPr>
              <w:t>AG102   Примером хеджирования справедливой стоимости является хеджирование риска изменения справедливой стоимости долгового инструмента с фиксированной ставкой в результате изменения процентных ставок. Такое хеджирование может быть осуществлено эмитентом или владельцем финансового инструмента.</w:t>
            </w:r>
          </w:p>
          <w:p w:rsidR="00BB1376" w:rsidRDefault="00BB1376" w:rsidP="00BB1376">
            <w:pPr>
              <w:pStyle w:val="a3"/>
              <w:jc w:val="both"/>
              <w:rPr>
                <w:color w:val="626262"/>
                <w:sz w:val="20"/>
                <w:szCs w:val="20"/>
              </w:rPr>
            </w:pPr>
            <w:r>
              <w:rPr>
                <w:color w:val="626262"/>
                <w:sz w:val="20"/>
                <w:szCs w:val="20"/>
              </w:rPr>
              <w:t>AG103   Примером хеджирования денежных потоков является использование свопа для превращения долга с плавающей ставкой в долг с фиксированной ставкой (т.е. хеджирование будущей операции, где хеджируемыми будущими денежными потоками являются предстоящие выплаты по процентам).</w:t>
            </w:r>
          </w:p>
          <w:p w:rsidR="00BB1376" w:rsidRDefault="00BB1376" w:rsidP="00BB1376">
            <w:pPr>
              <w:pStyle w:val="a3"/>
              <w:jc w:val="both"/>
              <w:rPr>
                <w:color w:val="626262"/>
                <w:sz w:val="20"/>
                <w:szCs w:val="20"/>
              </w:rPr>
            </w:pPr>
            <w:r>
              <w:rPr>
                <w:color w:val="626262"/>
                <w:sz w:val="20"/>
                <w:szCs w:val="20"/>
              </w:rPr>
              <w:t>AG104   Хеджирование твердого соглашения (например, хеджирование изменения в цене топлива, связанного с непризнанным в балансе договорным обязательством энергетической компании купить топливо по фиксированной цене) является хеджированием риска изменения справедливой стоимости. Следовательно, такое хеджирование является хеджированием справедливой стоимости. Однако в соответствии с параграфом 87 хеджирование валютного риска по твердому соглашению в качестве альтернативы может быть учтено как хеджирование денежных потоков.</w:t>
            </w:r>
          </w:p>
          <w:p w:rsidR="00BB1376" w:rsidRDefault="00BB1376" w:rsidP="00BB1376">
            <w:pPr>
              <w:pStyle w:val="a3"/>
              <w:jc w:val="both"/>
              <w:rPr>
                <w:color w:val="626262"/>
                <w:sz w:val="20"/>
                <w:szCs w:val="20"/>
              </w:rPr>
            </w:pPr>
            <w:r>
              <w:rPr>
                <w:color w:val="626262"/>
                <w:sz w:val="20"/>
                <w:szCs w:val="20"/>
              </w:rPr>
              <w:t> </w:t>
            </w:r>
          </w:p>
          <w:p w:rsidR="00BB1376" w:rsidRDefault="00BB1376" w:rsidP="00BB1376">
            <w:pPr>
              <w:pStyle w:val="a3"/>
              <w:jc w:val="both"/>
              <w:rPr>
                <w:color w:val="626262"/>
                <w:sz w:val="20"/>
                <w:szCs w:val="20"/>
              </w:rPr>
            </w:pPr>
            <w:r>
              <w:rPr>
                <w:rStyle w:val="a4"/>
                <w:color w:val="626262"/>
                <w:sz w:val="20"/>
                <w:szCs w:val="20"/>
              </w:rPr>
              <w:t>Оценка эффективности хеджирования</w:t>
            </w:r>
          </w:p>
          <w:p w:rsidR="00BB1376" w:rsidRDefault="00BB1376" w:rsidP="00BB1376">
            <w:pPr>
              <w:pStyle w:val="a3"/>
              <w:jc w:val="both"/>
              <w:rPr>
                <w:color w:val="626262"/>
                <w:sz w:val="20"/>
                <w:szCs w:val="20"/>
              </w:rPr>
            </w:pPr>
            <w:r>
              <w:rPr>
                <w:color w:val="626262"/>
                <w:sz w:val="20"/>
                <w:szCs w:val="20"/>
              </w:rPr>
              <w:lastRenderedPageBreak/>
              <w:t>AG105   Хеджирование считается высокоэффективным, только если удовлетворяются оба следующих условия:</w:t>
            </w:r>
          </w:p>
          <w:p w:rsidR="00BB1376" w:rsidRDefault="00BB1376" w:rsidP="00BB1376">
            <w:pPr>
              <w:pStyle w:val="a3"/>
              <w:jc w:val="both"/>
              <w:rPr>
                <w:color w:val="626262"/>
                <w:sz w:val="20"/>
                <w:szCs w:val="20"/>
              </w:rPr>
            </w:pPr>
            <w:r>
              <w:rPr>
                <w:color w:val="626262"/>
                <w:sz w:val="20"/>
                <w:szCs w:val="20"/>
              </w:rPr>
              <w:t>(а)           В начале хеджирования и в последующие периоды ожидается, что хеджирование окажется высокоэффективным инструментом, обеспечивающим взаимозачет относимых на хеджируемый риск изменений справедливой стоимости или движения денежных средств в течение периода, для которого определяется хеджирование. Такие ожидания можно продемонстрировать разными способами, включая сравнение прошлых изменений справедливой стоимости или движения денежных средств хеджируемой статьи, относимых на хеджируемый риск, с прошлыми изменениями справедливой стоимости или движения денежных средств инструмента хеджирования или показав высокую статистическую корреляцию между справедливой стоимостью или движением денежных средств хеджируемой статьи и инструмента хеджирования. Предприятие может выбрать соотношение при хеджировании, отличное от соотношения один к одному, для того чтобы повысить эффективность хеджирования, как описано в параграфе AG100.</w:t>
            </w:r>
          </w:p>
          <w:p w:rsidR="00BB1376" w:rsidRDefault="00BB1376" w:rsidP="00BB1376">
            <w:pPr>
              <w:pStyle w:val="a3"/>
              <w:jc w:val="both"/>
              <w:rPr>
                <w:color w:val="626262"/>
                <w:sz w:val="20"/>
                <w:szCs w:val="20"/>
              </w:rPr>
            </w:pPr>
            <w:r>
              <w:rPr>
                <w:color w:val="626262"/>
                <w:sz w:val="20"/>
                <w:szCs w:val="20"/>
              </w:rPr>
              <w:t>(b)           Фактические результаты хеджирования находятся в диапазоне 80-125 процентов. Например, если фактические результаты таковы, что убыток от инструмента хеджирования составляет 120 д.е., а прибыль от денежного инструмента равняется 100 д.е., то результаты взаимозачета можно измерить на уровне 120/100, то есть 120 процентов, или 100/120, то есть 83 процента. В данном примере, если предположить, что хеджирование удовлетворяет условию в пункте (а), предприятие может сделать вывод, что хеджирование было высокоэффективным.</w:t>
            </w:r>
          </w:p>
          <w:p w:rsidR="00BB1376" w:rsidRDefault="00BB1376" w:rsidP="00BB1376">
            <w:pPr>
              <w:pStyle w:val="a3"/>
              <w:jc w:val="both"/>
              <w:rPr>
                <w:color w:val="626262"/>
                <w:sz w:val="20"/>
                <w:szCs w:val="20"/>
              </w:rPr>
            </w:pPr>
            <w:r>
              <w:rPr>
                <w:color w:val="626262"/>
                <w:sz w:val="20"/>
                <w:szCs w:val="20"/>
              </w:rPr>
              <w:t>AG106   Оценка эффективности хеджирования должна проводиться, как минимум, в момент подготовки годовой или промежуточной финансовой отчетности предприятия.</w:t>
            </w:r>
          </w:p>
          <w:p w:rsidR="00BB1376" w:rsidRDefault="00BB1376" w:rsidP="00BB1376">
            <w:pPr>
              <w:pStyle w:val="a3"/>
              <w:jc w:val="both"/>
              <w:rPr>
                <w:color w:val="626262"/>
                <w:sz w:val="20"/>
                <w:szCs w:val="20"/>
              </w:rPr>
            </w:pPr>
            <w:r>
              <w:rPr>
                <w:color w:val="626262"/>
                <w:sz w:val="20"/>
                <w:szCs w:val="20"/>
              </w:rPr>
              <w:t>AG107   В настоящем стандарте не устанавливается единый метод оценки эффективности хеджирования. Метод, принимаемый предприятием для оценки эффективности хеджирования, зависит от стратегии управления риском. Например, если стратегия управления риском у предприятия заключается в периодической корректировке суммы инструмента хеджирования для отражения изменений в хеджируемой позиции, то предприятию необходимо продемонстрировать, что по его ожиданиям хеджирование будет высокоэффективным только в течение периода до следующей корректировки суммы инструмента хеджирования. В некоторых случаях предприятие принимает разные методы для различных видов хеджирования. В этих процедурах указывается, подвергается ли оценке вся прибыль или убыток от инструмента хеджирования или временная стоимость инструмента хеджирования исключается из рассмотрения.</w:t>
            </w:r>
          </w:p>
          <w:p w:rsidR="00BB1376" w:rsidRDefault="00BB1376" w:rsidP="00BB1376">
            <w:pPr>
              <w:pStyle w:val="a3"/>
              <w:jc w:val="both"/>
              <w:rPr>
                <w:color w:val="626262"/>
                <w:sz w:val="20"/>
                <w:szCs w:val="20"/>
              </w:rPr>
            </w:pPr>
            <w:r>
              <w:rPr>
                <w:color w:val="626262"/>
                <w:sz w:val="20"/>
                <w:szCs w:val="20"/>
              </w:rPr>
              <w:t>AG107A               Если предприятие хеджирует менее 100 процентов воздействия на статью, например, 85 процентов, то оно должно определить хеджируемую статью как равную 85 процентам воздействия и должно измерить неэффективность хеджирования на основе изменения этого обозначенного 85-процентного воздействия. Однако при хеджировании обозначенного 85-процентного воздействия предприятие может использовать коэффициент хеджирования, отличный от соотношения один к одному, если это повысит ожидаемую эффективность хеджирования, как объясняется в параграфе AG100.</w:t>
            </w:r>
          </w:p>
          <w:p w:rsidR="00BB1376" w:rsidRDefault="00BB1376" w:rsidP="00BB1376">
            <w:pPr>
              <w:pStyle w:val="a3"/>
              <w:jc w:val="both"/>
              <w:rPr>
                <w:color w:val="626262"/>
                <w:sz w:val="20"/>
                <w:szCs w:val="20"/>
              </w:rPr>
            </w:pPr>
            <w:r>
              <w:rPr>
                <w:color w:val="626262"/>
                <w:sz w:val="20"/>
                <w:szCs w:val="20"/>
              </w:rPr>
              <w:t>AG108   При совпадении основных условий инструмента хеджирования и хеджируемого актива, обязательства, твердого соглашения или весьма возможной прогнозируемой операции изменения справедливой стоимости и денежных потоков, относимые к хеджируемому риску, могут полностью компенсировать друг друга как в самом начале хеджирования, так и далее в ходе его осуществления. Например, процентный своп, вероятно, окажется эффективным способом хеджирования, если номинальная и основная суммы, сроки, даты пересмотра ставки процента, даты получения и выплаты процентов и основной суммы, а также основа измерения процентных ставок одинаковы для инструмента хеджирования и хеджируемой статьи. Кроме того, хеджирование весьма возможной прогнозируемой покупки товара по форвардному контракту будет высокоэффективным, если:</w:t>
            </w:r>
          </w:p>
          <w:p w:rsidR="00BB1376" w:rsidRDefault="00BB1376" w:rsidP="00BB1376">
            <w:pPr>
              <w:pStyle w:val="a3"/>
              <w:jc w:val="both"/>
              <w:rPr>
                <w:color w:val="626262"/>
                <w:sz w:val="20"/>
                <w:szCs w:val="20"/>
              </w:rPr>
            </w:pPr>
            <w:r>
              <w:rPr>
                <w:color w:val="626262"/>
                <w:sz w:val="20"/>
                <w:szCs w:val="20"/>
              </w:rPr>
              <w:t>(а)           форвардный контракт на покупку такого же количества того же самого товара заключается в то же самое время и в том же самом месте, что и хеджируемая прогнозируемая покупка;</w:t>
            </w:r>
          </w:p>
          <w:p w:rsidR="00BB1376" w:rsidRDefault="00BB1376" w:rsidP="00BB1376">
            <w:pPr>
              <w:pStyle w:val="a3"/>
              <w:jc w:val="both"/>
              <w:rPr>
                <w:color w:val="626262"/>
                <w:sz w:val="20"/>
                <w:szCs w:val="20"/>
              </w:rPr>
            </w:pPr>
            <w:r>
              <w:rPr>
                <w:color w:val="626262"/>
                <w:sz w:val="20"/>
                <w:szCs w:val="20"/>
              </w:rPr>
              <w:t>(b)           справедливая стоимость форвардного контракта в самом начале равна нулю;</w:t>
            </w:r>
          </w:p>
          <w:p w:rsidR="00BB1376" w:rsidRDefault="00BB1376" w:rsidP="00BB1376">
            <w:pPr>
              <w:pStyle w:val="a3"/>
              <w:jc w:val="both"/>
              <w:rPr>
                <w:color w:val="626262"/>
                <w:sz w:val="20"/>
                <w:szCs w:val="20"/>
              </w:rPr>
            </w:pPr>
            <w:r>
              <w:rPr>
                <w:color w:val="626262"/>
                <w:sz w:val="20"/>
                <w:szCs w:val="20"/>
              </w:rPr>
              <w:t>(c)           изменение дисконта или премии по форвардному контракту исключается из оценки эффективности и признается в составе прибыли или убытка, либо изменение предполагаемых денежных потоков от весьма возможной прогнозируемой операции основывается на цене товара по форвардным сделкам.</w:t>
            </w:r>
          </w:p>
          <w:p w:rsidR="00BB1376" w:rsidRDefault="00BB1376" w:rsidP="00BB1376">
            <w:pPr>
              <w:pStyle w:val="a3"/>
              <w:jc w:val="both"/>
              <w:rPr>
                <w:color w:val="626262"/>
                <w:sz w:val="20"/>
                <w:szCs w:val="20"/>
              </w:rPr>
            </w:pPr>
            <w:r>
              <w:rPr>
                <w:color w:val="626262"/>
                <w:sz w:val="20"/>
                <w:szCs w:val="20"/>
              </w:rPr>
              <w:lastRenderedPageBreak/>
              <w:t>AG109   Иногда инструмент хеджирования только частично компенсирует хеджируемый риск. Например, хеджирование нельзя считать полностью эффективным, когда инструмент хеджирования и хеджируемая статья выражены в различных валютах, которые не изменяются соответственно друг другу. Кроме того, не будет полностью эффективным хеджирование процентного риска при помощи производного инструмента, если часть изменения справедливой стоимости производного инструмента может быть отнесена на кредитный риск встречной стороны.</w:t>
            </w:r>
          </w:p>
          <w:p w:rsidR="00BB1376" w:rsidRDefault="00BB1376" w:rsidP="00BB1376">
            <w:pPr>
              <w:pStyle w:val="a3"/>
              <w:jc w:val="both"/>
              <w:rPr>
                <w:color w:val="626262"/>
                <w:sz w:val="20"/>
                <w:szCs w:val="20"/>
              </w:rPr>
            </w:pPr>
            <w:r>
              <w:rPr>
                <w:color w:val="626262"/>
                <w:sz w:val="20"/>
                <w:szCs w:val="20"/>
              </w:rPr>
              <w:t>AG110   Чтобы отвечать требованиям учета хеджирования, хеджирование должно относиться к конкретно установленному и обозначенному риску, а не к рискам хозяйственной деятельности предприятия в целом, при этом хеджирование должно, в конечном счете, влиять на прибыль или убыток предприятия. Хеджирование риска морального устаревания активов или риска конфискации имущества государством не подходит для учета хеджирования; в этих случаях степень эффективности нельзя измерить, так как указанные риски невозможно измерить надежно.</w:t>
            </w:r>
          </w:p>
          <w:p w:rsidR="00BB1376" w:rsidRDefault="00BB1376" w:rsidP="00BB1376">
            <w:pPr>
              <w:pStyle w:val="a3"/>
              <w:jc w:val="both"/>
              <w:rPr>
                <w:color w:val="626262"/>
                <w:sz w:val="20"/>
                <w:szCs w:val="20"/>
              </w:rPr>
            </w:pPr>
            <w:r>
              <w:rPr>
                <w:color w:val="626262"/>
                <w:sz w:val="20"/>
                <w:szCs w:val="20"/>
              </w:rPr>
              <w:t>AG111   В случае процентного риска эффективность хеджирования можно оценить, подготовив график сроков платежей по финансовым активам и финансовым обязательствам, отражающий чистую процентную позицию в каждом промежутке времени, при условии, что чистая позиция связана с конкретным активом или обязательством (или конкретной группой активов или обязательств или их определенной частью), приводящим к чистой позиции, а эффективность хеджирования оценивается по отношению к данному активу или обязательству.</w:t>
            </w:r>
          </w:p>
          <w:p w:rsidR="00BB1376" w:rsidRDefault="00BB1376" w:rsidP="00BB1376">
            <w:pPr>
              <w:pStyle w:val="a3"/>
              <w:jc w:val="both"/>
              <w:rPr>
                <w:color w:val="626262"/>
                <w:sz w:val="20"/>
                <w:szCs w:val="20"/>
              </w:rPr>
            </w:pPr>
            <w:r>
              <w:rPr>
                <w:color w:val="626262"/>
                <w:sz w:val="20"/>
                <w:szCs w:val="20"/>
              </w:rPr>
              <w:t>AG112   При оценке эффективности хеджирования предприятие, как правило, учитывает временную стоимость денег. Фиксированная процентная ставка по хеджируемой статье не обязательно должна совпадать с фиксированной процентной ставкой по свопу, выступающему в качестве хеджирования справедливой стоимости. Точно так же плавающая процентная ставка по процентному активу или обязательству не обязательно совпадает с плавающей процентной ставкой по свопу, определенному в качестве хеджирования денежных потоков. Справедливая стоимость свопа вытекает из суммы нетто-расчетов. Фиксированная и переменная ставки по свопу могут измениться, не оказав влияния на нетто-расчеты, при условии, что обе меняются на одну и ту же величину.</w:t>
            </w:r>
          </w:p>
          <w:p w:rsidR="00BB1376" w:rsidRDefault="00BB1376" w:rsidP="00BB1376">
            <w:pPr>
              <w:pStyle w:val="a3"/>
              <w:jc w:val="both"/>
              <w:rPr>
                <w:color w:val="626262"/>
                <w:sz w:val="20"/>
                <w:szCs w:val="20"/>
              </w:rPr>
            </w:pPr>
            <w:r>
              <w:rPr>
                <w:color w:val="626262"/>
                <w:sz w:val="20"/>
                <w:szCs w:val="20"/>
              </w:rPr>
              <w:t>AG113   Если предприятие не отвечает критериям эффективного хеджирования, то оно прекращает учет операций хеджирования с последней даты когда было продемонстрировано соответствие критериям эффективности хеджирования. Однако если предприятие определяет событие или изменение обстоятельств, послужившее причиной того, что отношения хеджирования перестали удовлетворять критериям эффективности и демонстрирует, что хеджирование было эффективным до наступления события или изменения обстоятельств, то оно прекращает учет операций хеджирования с даты, когда происходит событие или изменение обстоятельств.</w:t>
            </w:r>
          </w:p>
          <w:p w:rsidR="00BB1376" w:rsidRDefault="00BB1376" w:rsidP="00BB1376">
            <w:pPr>
              <w:pStyle w:val="a3"/>
              <w:jc w:val="both"/>
              <w:rPr>
                <w:color w:val="626262"/>
                <w:sz w:val="20"/>
                <w:szCs w:val="20"/>
              </w:rPr>
            </w:pPr>
            <w:r>
              <w:rPr>
                <w:color w:val="626262"/>
                <w:sz w:val="20"/>
                <w:szCs w:val="20"/>
              </w:rPr>
              <w:t> </w:t>
            </w:r>
          </w:p>
          <w:p w:rsidR="00BB1376" w:rsidRDefault="00BB1376" w:rsidP="00BB1376">
            <w:pPr>
              <w:pStyle w:val="a3"/>
              <w:jc w:val="both"/>
              <w:rPr>
                <w:color w:val="626262"/>
                <w:sz w:val="20"/>
                <w:szCs w:val="20"/>
              </w:rPr>
            </w:pPr>
            <w:r>
              <w:rPr>
                <w:rStyle w:val="a4"/>
                <w:color w:val="626262"/>
                <w:sz w:val="20"/>
                <w:szCs w:val="20"/>
              </w:rPr>
              <w:t>Учет хеджирования справедливой стоимости при хеджировании портфеля от процентных рисков</w:t>
            </w:r>
          </w:p>
          <w:p w:rsidR="00BB1376" w:rsidRDefault="00BB1376" w:rsidP="00BB1376">
            <w:pPr>
              <w:pStyle w:val="a3"/>
              <w:jc w:val="both"/>
              <w:rPr>
                <w:color w:val="626262"/>
                <w:sz w:val="20"/>
                <w:szCs w:val="20"/>
              </w:rPr>
            </w:pPr>
            <w:r>
              <w:rPr>
                <w:color w:val="626262"/>
                <w:sz w:val="20"/>
                <w:szCs w:val="20"/>
              </w:rPr>
              <w:t>AG114   Для хеджирования справедливой стоимости от риска изменения процентной ставки, связанного с портфелем финансовых активов или финансовых обязательств, предприятие будет удовлетворять требованиям данного стандарта, если оно соблюдает процедуры, изложенные в следующих далее пунктах (а)-(i) и параграфах AG115-AG132:</w:t>
            </w:r>
          </w:p>
          <w:p w:rsidR="00BB1376" w:rsidRDefault="00BB1376" w:rsidP="00BB1376">
            <w:pPr>
              <w:pStyle w:val="a3"/>
              <w:jc w:val="both"/>
              <w:rPr>
                <w:color w:val="626262"/>
                <w:sz w:val="20"/>
                <w:szCs w:val="20"/>
              </w:rPr>
            </w:pPr>
            <w:r>
              <w:rPr>
                <w:color w:val="626262"/>
                <w:sz w:val="20"/>
                <w:szCs w:val="20"/>
              </w:rPr>
              <w:t>(а)           как часть процесса управления рисками предприятие определяет портфель статей, процентный риск которых оно желает хеджировать. Портфель может состоять только из активов, только из обязательств или из того и другого. Предприятие может определить два или несколько портфелей (например, предприятие может сгруппировать свои активы, имеющиеся в наличии для продажи, в отдельный портфель), при этом оно применяет нижеприведенное руководство отдельно к каждому портфелю;</w:t>
            </w:r>
          </w:p>
          <w:p w:rsidR="00BB1376" w:rsidRDefault="00BB1376" w:rsidP="00BB1376">
            <w:pPr>
              <w:pStyle w:val="a3"/>
              <w:jc w:val="both"/>
              <w:rPr>
                <w:color w:val="626262"/>
                <w:sz w:val="20"/>
                <w:szCs w:val="20"/>
              </w:rPr>
            </w:pPr>
            <w:r>
              <w:rPr>
                <w:color w:val="626262"/>
                <w:sz w:val="20"/>
                <w:szCs w:val="20"/>
              </w:rPr>
              <w:t>(b)           предприятие анализирует портфель по периодам пересмотра ставок процента на основе ожидаемых, а не договорных сроков пересмотра ставок процента. Анализ по периодам пересмотра ставок процента может быть осуществлен разными способами, включая составление графика движения денежных средств в периодах, в которых они ожидаются, или составление графика условных основных сумм во всех периодах до момента, когда произойдет ожидаемый пересмотр цен;</w:t>
            </w:r>
          </w:p>
          <w:p w:rsidR="00BB1376" w:rsidRDefault="00BB1376" w:rsidP="00BB1376">
            <w:pPr>
              <w:pStyle w:val="a3"/>
              <w:jc w:val="both"/>
              <w:rPr>
                <w:color w:val="626262"/>
                <w:sz w:val="20"/>
                <w:szCs w:val="20"/>
              </w:rPr>
            </w:pPr>
            <w:r>
              <w:rPr>
                <w:color w:val="626262"/>
                <w:sz w:val="20"/>
                <w:szCs w:val="20"/>
              </w:rPr>
              <w:t xml:space="preserve">(c)           на основе этого анализа предприятие решает, какую сумму оно будет хеджировать. Предприятие определяет в качестве хеджируемой статьи сумму активов или обязательств (но не нетто-величину) из </w:t>
            </w:r>
            <w:r>
              <w:rPr>
                <w:color w:val="626262"/>
                <w:sz w:val="20"/>
                <w:szCs w:val="20"/>
              </w:rPr>
              <w:lastRenderedPageBreak/>
              <w:t>установленного портфеля, равную сумме, которую оно желает определить в качестве хеджируемой. Эта сумма также определяет процентный показатель, используемый для проверки эффективности хеджирования в соответствии с параграфом AG126(b);</w:t>
            </w:r>
          </w:p>
          <w:p w:rsidR="00BB1376" w:rsidRDefault="00BB1376" w:rsidP="00BB1376">
            <w:pPr>
              <w:pStyle w:val="a3"/>
              <w:jc w:val="both"/>
              <w:rPr>
                <w:color w:val="626262"/>
                <w:sz w:val="20"/>
                <w:szCs w:val="20"/>
              </w:rPr>
            </w:pPr>
            <w:r>
              <w:rPr>
                <w:color w:val="626262"/>
                <w:sz w:val="20"/>
                <w:szCs w:val="20"/>
              </w:rPr>
              <w:t>(d)           предприятие определяет процентный риск, который оно хеджирует. Этот риск может быть частью процентного риска, относящегося к каждой статье в хеджируемой позиции, например, к исходной процентной ставке (например, ставке ЛИБОР);</w:t>
            </w:r>
          </w:p>
          <w:p w:rsidR="00BB1376" w:rsidRDefault="00BB1376" w:rsidP="00BB1376">
            <w:pPr>
              <w:pStyle w:val="a3"/>
              <w:jc w:val="both"/>
              <w:rPr>
                <w:color w:val="626262"/>
                <w:sz w:val="20"/>
                <w:szCs w:val="20"/>
              </w:rPr>
            </w:pPr>
            <w:r>
              <w:rPr>
                <w:color w:val="626262"/>
                <w:sz w:val="20"/>
                <w:szCs w:val="20"/>
              </w:rPr>
              <w:t>(e)           предприятие определяет один или несколько инструментов хеджирования для каждого периода пересмотра ставок процента;</w:t>
            </w:r>
          </w:p>
          <w:p w:rsidR="00BB1376" w:rsidRDefault="00BB1376" w:rsidP="00BB1376">
            <w:pPr>
              <w:pStyle w:val="a3"/>
              <w:jc w:val="both"/>
              <w:rPr>
                <w:color w:val="626262"/>
                <w:sz w:val="20"/>
                <w:szCs w:val="20"/>
              </w:rPr>
            </w:pPr>
            <w:r>
              <w:rPr>
                <w:color w:val="626262"/>
                <w:sz w:val="20"/>
                <w:szCs w:val="20"/>
              </w:rPr>
              <w:t>(f)            используя информацию об определенных для хеджирования величинах в пунктах (с)-(е), предприятие оценивает в начале хеджирования и в последующие периоды, будет ли хеджирование высокоэффективным в течение периода, для которого определяется хеджирование;</w:t>
            </w:r>
          </w:p>
          <w:p w:rsidR="00BB1376" w:rsidRDefault="00BB1376" w:rsidP="00BB1376">
            <w:pPr>
              <w:pStyle w:val="a3"/>
              <w:jc w:val="both"/>
              <w:rPr>
                <w:color w:val="626262"/>
                <w:sz w:val="20"/>
                <w:szCs w:val="20"/>
              </w:rPr>
            </w:pPr>
            <w:r>
              <w:rPr>
                <w:color w:val="626262"/>
                <w:sz w:val="20"/>
                <w:szCs w:val="20"/>
              </w:rPr>
              <w:t>(g)           предприятие периодически измеряет изменение справедливой стоимости хеджируемой статьи (определенной в пункте (с)), связанное с хеджируемым риском (определенный в пункте (d)), на основе ожидаемых сроков пересмотра ставок процента, определенных в пункте (b). При условии, что в ходе оценки с использованием метода оценки эффективности, содержащегося в документах предприятия, установлено, что хеджирование является высокоэффективным, предприятие признает изменение справедливой стоимости хеджируемой статьи в качестве дохода или убытка в составе прибыли или убытка и в одной из двух статей баланса как описано в параграфе 89А. Изменение справедливой стоимости не требуется распределять на отдельные активы или обязательства;</w:t>
            </w:r>
          </w:p>
          <w:p w:rsidR="00BB1376" w:rsidRDefault="00BB1376" w:rsidP="00BB1376">
            <w:pPr>
              <w:pStyle w:val="a3"/>
              <w:jc w:val="both"/>
              <w:rPr>
                <w:color w:val="626262"/>
                <w:sz w:val="20"/>
                <w:szCs w:val="20"/>
              </w:rPr>
            </w:pPr>
            <w:r>
              <w:rPr>
                <w:color w:val="626262"/>
                <w:sz w:val="20"/>
                <w:szCs w:val="20"/>
              </w:rPr>
              <w:t>(h)           предприятие измеряет изменение справедливой стоимости инструмента (инструментов) хеджирования (определяемых в пункте (е)) и признает его как доход или убыток в составе прибыли или убытка. Справедливая стоимость инструмента (инструментов) хеджирования признается в качестве актива или обязательства в балансе;</w:t>
            </w:r>
          </w:p>
          <w:p w:rsidR="00BB1376" w:rsidRDefault="00BB1376" w:rsidP="00BB1376">
            <w:pPr>
              <w:pStyle w:val="a3"/>
              <w:jc w:val="both"/>
              <w:rPr>
                <w:color w:val="626262"/>
                <w:sz w:val="20"/>
                <w:szCs w:val="20"/>
              </w:rPr>
            </w:pPr>
            <w:r>
              <w:rPr>
                <w:color w:val="626262"/>
                <w:sz w:val="20"/>
                <w:szCs w:val="20"/>
              </w:rPr>
              <w:t>(i)            неэффективность</w:t>
            </w:r>
            <w:bookmarkStart w:id="6" w:name="_ftnref7"/>
            <w:r>
              <w:rPr>
                <w:color w:val="626262"/>
                <w:sz w:val="20"/>
                <w:szCs w:val="20"/>
              </w:rPr>
              <w:fldChar w:fldCharType="begin"/>
            </w:r>
            <w:r>
              <w:rPr>
                <w:color w:val="626262"/>
                <w:sz w:val="20"/>
                <w:szCs w:val="20"/>
              </w:rPr>
              <w:instrText xml:space="preserve"> HYPERLINK "http://www.kz-adviser.kz/official/32-ifrs/207-ias39" \l "_ftn7" </w:instrText>
            </w:r>
            <w:r>
              <w:rPr>
                <w:color w:val="626262"/>
                <w:sz w:val="20"/>
                <w:szCs w:val="20"/>
              </w:rPr>
              <w:fldChar w:fldCharType="separate"/>
            </w:r>
            <w:r>
              <w:rPr>
                <w:rStyle w:val="a6"/>
                <w:sz w:val="20"/>
                <w:szCs w:val="20"/>
              </w:rPr>
              <w:t>[7]</w:t>
            </w:r>
            <w:r>
              <w:rPr>
                <w:color w:val="626262"/>
                <w:sz w:val="20"/>
                <w:szCs w:val="20"/>
              </w:rPr>
              <w:fldChar w:fldCharType="end"/>
            </w:r>
            <w:bookmarkEnd w:id="6"/>
            <w:r>
              <w:rPr>
                <w:rStyle w:val="apple-converted-space"/>
                <w:color w:val="626262"/>
                <w:sz w:val="20"/>
                <w:szCs w:val="20"/>
              </w:rPr>
              <w:t> </w:t>
            </w:r>
            <w:r>
              <w:rPr>
                <w:color w:val="626262"/>
                <w:sz w:val="20"/>
                <w:szCs w:val="20"/>
              </w:rPr>
              <w:t>будет отнесена на прибыль или убыток как разница между изменением справедливой стоимости, указанной в пункте (g), и изменением справедливой стоимости, указанной в пункте (h).</w:t>
            </w:r>
          </w:p>
          <w:p w:rsidR="00BB1376" w:rsidRDefault="00BB1376" w:rsidP="00BB1376">
            <w:pPr>
              <w:pStyle w:val="a3"/>
              <w:jc w:val="both"/>
              <w:rPr>
                <w:color w:val="626262"/>
                <w:sz w:val="20"/>
                <w:szCs w:val="20"/>
              </w:rPr>
            </w:pPr>
            <w:r>
              <w:rPr>
                <w:color w:val="626262"/>
                <w:sz w:val="20"/>
                <w:szCs w:val="20"/>
              </w:rPr>
              <w:t>AG115   Данный подход более подробно описывается далее. Этот подход должен применяться только к хеджированию справедливой стоимости от риска изменения процентной ставки, связанного с портфелем финансовых активов или финансовых обязательств.</w:t>
            </w:r>
          </w:p>
          <w:p w:rsidR="00BB1376" w:rsidRDefault="00BB1376" w:rsidP="00BB1376">
            <w:pPr>
              <w:pStyle w:val="a3"/>
              <w:jc w:val="both"/>
              <w:rPr>
                <w:color w:val="626262"/>
                <w:sz w:val="20"/>
                <w:szCs w:val="20"/>
              </w:rPr>
            </w:pPr>
            <w:r>
              <w:rPr>
                <w:color w:val="626262"/>
                <w:sz w:val="20"/>
                <w:szCs w:val="20"/>
              </w:rPr>
              <w:t>AG116   Портфель, определенный в параграфе AG114(а), может состоять из активов и обязательств. В качестве альтернативы, этот портфель может состоять только из активов или только из обязательств. Этот портфель используется для определения суммы активов или обязательств, которые предприятие желает хеджировать. Однако портфель сам по себе не определяется в качестве хеджируемой статьи.</w:t>
            </w:r>
          </w:p>
          <w:p w:rsidR="00BB1376" w:rsidRDefault="00BB1376" w:rsidP="00BB1376">
            <w:pPr>
              <w:pStyle w:val="a3"/>
              <w:jc w:val="both"/>
              <w:rPr>
                <w:color w:val="626262"/>
                <w:sz w:val="20"/>
                <w:szCs w:val="20"/>
              </w:rPr>
            </w:pPr>
            <w:r>
              <w:rPr>
                <w:color w:val="626262"/>
                <w:sz w:val="20"/>
                <w:szCs w:val="20"/>
              </w:rPr>
              <w:t>AG117   При применении параграфа AG114(b) предприятие определяет ожидаемую дату пересмотра ставок процента по статье как более раннюю из даты ожидаемого погашения статьи и даты пересмотра ставок процента до рыночных ставок. Ожидаемые сроки пересмотра ставок процента оцениваются в начале хеджирования и в течение всего срока хеджирования на основе прошлого опыта и другой имеющейся информации, включая информацию и ожидания относительно уровня досрочных погашений, процентных ставок и взаимосвязи между ними. Предприятия, которые не имеют собственного опыта или имеют недостаточный опыт, используют опыт группы предприятий того же уровня, относящийся к сопоставимым финансовым инструментам. Эти расчетные оценки периодически пересматриваются и обновляются с учетом опыта. В случае со статьей, имеющей фиксированную ставку, и которая может быть досрочно погашена, ожидаемой датой пересмотра ставок процента является дата, на которую ожидается досрочное погашение по статье, за исключением случаев, когда она переоценивается до рыночных ставок на более раннюю дату. Для группы аналогичных статей анализ по временным периодам на основе ожидаемых сроков пересмотра ставок процента может принимать форму распределения определенного процента от всей группы, а не отдельных активов, на каждый временной период. Предприятие может применить другие методики для целей такого распределения. Например, оно может использовать множитель уровня досрочных погашений для распределения амортизируемых займов на временные периоды на основе ожидаемых сроков пересмотра ставок процента. Однако методика такого распределения должна соответствовать процедурам и целям управления рисками предприятия.</w:t>
            </w:r>
          </w:p>
          <w:p w:rsidR="00BB1376" w:rsidRDefault="00BB1376" w:rsidP="00BB1376">
            <w:pPr>
              <w:pStyle w:val="a3"/>
              <w:jc w:val="both"/>
              <w:rPr>
                <w:color w:val="626262"/>
                <w:sz w:val="20"/>
                <w:szCs w:val="20"/>
              </w:rPr>
            </w:pPr>
            <w:r>
              <w:rPr>
                <w:color w:val="626262"/>
                <w:sz w:val="20"/>
                <w:szCs w:val="20"/>
              </w:rPr>
              <w:lastRenderedPageBreak/>
              <w:t>AG118   В качестве примера определения суммы для хеджирования в соответствии с параграфом AG114(с), можно привести следующую ситуацию: если в определенный период пересмотра ставок процента предприятие оценивает свои активы с фиксированной ставкой в сумме 100 д.е. и обязательства с фиксированной ставкой в размере 80 д.е. и решает хеджировать всю нетто-позицию, равную 20 д.е., то оно определяет в качестве хеджируемой статьи активы в сумме 20 д.е. (часть активов).</w:t>
            </w:r>
            <w:bookmarkStart w:id="7" w:name="_ftnref8"/>
            <w:r>
              <w:rPr>
                <w:color w:val="626262"/>
                <w:sz w:val="20"/>
                <w:szCs w:val="20"/>
              </w:rPr>
              <w:fldChar w:fldCharType="begin"/>
            </w:r>
            <w:r>
              <w:rPr>
                <w:color w:val="626262"/>
                <w:sz w:val="20"/>
                <w:szCs w:val="20"/>
              </w:rPr>
              <w:instrText xml:space="preserve"> HYPERLINK "http://www.kz-adviser.kz/official/32-ifrs/207-ias39" \l "_ftn8" </w:instrText>
            </w:r>
            <w:r>
              <w:rPr>
                <w:color w:val="626262"/>
                <w:sz w:val="20"/>
                <w:szCs w:val="20"/>
              </w:rPr>
              <w:fldChar w:fldCharType="separate"/>
            </w:r>
            <w:r>
              <w:rPr>
                <w:rStyle w:val="a6"/>
                <w:sz w:val="20"/>
                <w:szCs w:val="20"/>
              </w:rPr>
              <w:t>[8]</w:t>
            </w:r>
            <w:r>
              <w:rPr>
                <w:color w:val="626262"/>
                <w:sz w:val="20"/>
                <w:szCs w:val="20"/>
              </w:rPr>
              <w:fldChar w:fldCharType="end"/>
            </w:r>
            <w:bookmarkEnd w:id="7"/>
            <w:r>
              <w:rPr>
                <w:rStyle w:val="apple-converted-space"/>
                <w:color w:val="626262"/>
                <w:sz w:val="20"/>
                <w:szCs w:val="20"/>
              </w:rPr>
              <w:t> </w:t>
            </w:r>
            <w:r>
              <w:rPr>
                <w:color w:val="626262"/>
                <w:sz w:val="20"/>
                <w:szCs w:val="20"/>
              </w:rPr>
              <w:t>Величина, определенная для хеджирования, выражается как «денежная сумма» (например, сумма в долларах, евро, фунтах или рэндах), а не как отдельные активы. Отсюда следует, что все активы (или обязательства), из которых извлекается хеджируемая сумма, т.е. все 100 д.е. стоимости активов в вышеприведенном примере, должны быть:</w:t>
            </w:r>
          </w:p>
          <w:p w:rsidR="00BB1376" w:rsidRDefault="00BB1376" w:rsidP="00BB1376">
            <w:pPr>
              <w:pStyle w:val="a3"/>
              <w:jc w:val="both"/>
              <w:rPr>
                <w:color w:val="626262"/>
                <w:sz w:val="20"/>
                <w:szCs w:val="20"/>
              </w:rPr>
            </w:pPr>
            <w:r>
              <w:rPr>
                <w:color w:val="626262"/>
                <w:sz w:val="20"/>
                <w:szCs w:val="20"/>
              </w:rPr>
              <w:t>(а)           статьями, справедливая стоимость которых меняется в ответ на изменения хеджируемой процентной ставки; и</w:t>
            </w:r>
          </w:p>
          <w:p w:rsidR="00BB1376" w:rsidRDefault="00BB1376" w:rsidP="00BB1376">
            <w:pPr>
              <w:pStyle w:val="a3"/>
              <w:jc w:val="both"/>
              <w:rPr>
                <w:color w:val="626262"/>
                <w:sz w:val="20"/>
                <w:szCs w:val="20"/>
              </w:rPr>
            </w:pPr>
            <w:r>
              <w:rPr>
                <w:color w:val="626262"/>
                <w:sz w:val="20"/>
                <w:szCs w:val="20"/>
              </w:rPr>
              <w:t>(b)           статьями, которые могли бы удовлетворять требованиям учета хеджирования справедливой стоимости, если бы они были отдельно определены в качестве хеджируемых. В частности, поскольку стандарт</w:t>
            </w:r>
            <w:bookmarkStart w:id="8" w:name="_ftnref9"/>
            <w:r>
              <w:rPr>
                <w:color w:val="626262"/>
                <w:sz w:val="20"/>
                <w:szCs w:val="20"/>
              </w:rPr>
              <w:fldChar w:fldCharType="begin"/>
            </w:r>
            <w:r>
              <w:rPr>
                <w:color w:val="626262"/>
                <w:sz w:val="20"/>
                <w:szCs w:val="20"/>
              </w:rPr>
              <w:instrText xml:space="preserve"> HYPERLINK "http://www.kz-adviser.kz/official/32-ifrs/207-ias39" \l "_ftn9" </w:instrText>
            </w:r>
            <w:r>
              <w:rPr>
                <w:color w:val="626262"/>
                <w:sz w:val="20"/>
                <w:szCs w:val="20"/>
              </w:rPr>
              <w:fldChar w:fldCharType="separate"/>
            </w:r>
            <w:r>
              <w:rPr>
                <w:rStyle w:val="a6"/>
                <w:sz w:val="20"/>
                <w:szCs w:val="20"/>
              </w:rPr>
              <w:t>[9]</w:t>
            </w:r>
            <w:r>
              <w:rPr>
                <w:color w:val="626262"/>
                <w:sz w:val="20"/>
                <w:szCs w:val="20"/>
              </w:rPr>
              <w:fldChar w:fldCharType="end"/>
            </w:r>
            <w:bookmarkEnd w:id="8"/>
            <w:r>
              <w:rPr>
                <w:rStyle w:val="apple-converted-space"/>
                <w:color w:val="626262"/>
                <w:sz w:val="20"/>
                <w:szCs w:val="20"/>
              </w:rPr>
              <w:t> </w:t>
            </w:r>
            <w:r>
              <w:rPr>
                <w:color w:val="626262"/>
                <w:sz w:val="20"/>
                <w:szCs w:val="20"/>
              </w:rPr>
              <w:t>определяет, что справедливая стоимость финансового обязательства, подлежащего погашению по требованию (например, депозитов до востребования и некоторых видов срочных депозитов), не меньше суммы, подлежащей оплате по требованию, дисконтированной с первой даты, когда может быть потребована оплата суммы, то такая статья не может удовлетворять требованиям учета хеджирования справедливой стоимости в периоде, превышающем самый короткий период, в котором владелец может потребовать оплаты. В вышеприведенном примере хеджируемой позицией является сумма активов. Поэтому, такие обязательства не являются частью назначенной хеджируемой статьи, но используются предприятием для определения суммы актива, которая назначается как хеджируемая. Если позиция, которую предприятие пожелало хеджировать, являлась суммой обязательств, то сумма, представляющая назначенную хеджируемую статью, должна извлекаться из суммы обязательств с фиксированной ставкой, отличных от тех обязательств, погашение которых может потребоваться от предприятия в более ранний период, а процентный показатель, используемый для оценки эффективности хеджирования в соответствии с параграфом AG126(b), будет рассчитан как процент от этих других обязательств. Например, предположим, что по оценкам предприятия в определенный период пересмотра ставок процента оно имеет обязательства с фиксированной ставкой в сумме 100 д.е., из которых 40 д.е. это депозиты до востребования и 60 д.е. это обязательства, не подлежащие погашению по требованию, а также активы с фиксированной ставкой в размере 70 д.е. Если предприятие решает хеджировать всю нетто-позицию в размере 30 д.е., оно определяет в качестве хеджируемой статьи обязательства в сумме 30 д.е. или 50 процентов</w:t>
            </w:r>
            <w:r>
              <w:rPr>
                <w:rStyle w:val="apple-converted-space"/>
                <w:color w:val="626262"/>
                <w:sz w:val="20"/>
                <w:szCs w:val="20"/>
                <w:vertAlign w:val="superscript"/>
              </w:rPr>
              <w:t> </w:t>
            </w:r>
            <w:bookmarkStart w:id="9" w:name="_ftnref10"/>
            <w:r>
              <w:rPr>
                <w:color w:val="626262"/>
                <w:sz w:val="20"/>
                <w:szCs w:val="20"/>
                <w:vertAlign w:val="superscript"/>
              </w:rPr>
              <w:fldChar w:fldCharType="begin"/>
            </w:r>
            <w:r>
              <w:rPr>
                <w:color w:val="626262"/>
                <w:sz w:val="20"/>
                <w:szCs w:val="20"/>
                <w:vertAlign w:val="superscript"/>
              </w:rPr>
              <w:instrText xml:space="preserve"> HYPERLINK "http://www.kz-adviser.kz/official/32-ifrs/207-ias39" \l "_ftn10" </w:instrText>
            </w:r>
            <w:r>
              <w:rPr>
                <w:color w:val="626262"/>
                <w:sz w:val="20"/>
                <w:szCs w:val="20"/>
                <w:vertAlign w:val="superscript"/>
              </w:rPr>
              <w:fldChar w:fldCharType="separate"/>
            </w:r>
            <w:r>
              <w:rPr>
                <w:rStyle w:val="a6"/>
                <w:sz w:val="20"/>
                <w:szCs w:val="20"/>
                <w:vertAlign w:val="superscript"/>
              </w:rPr>
              <w:t>[10]</w:t>
            </w:r>
            <w:r>
              <w:rPr>
                <w:color w:val="626262"/>
                <w:sz w:val="20"/>
                <w:szCs w:val="20"/>
                <w:vertAlign w:val="superscript"/>
              </w:rPr>
              <w:fldChar w:fldCharType="end"/>
            </w:r>
            <w:bookmarkEnd w:id="9"/>
            <w:r>
              <w:rPr>
                <w:rStyle w:val="apple-converted-space"/>
                <w:color w:val="626262"/>
                <w:sz w:val="20"/>
                <w:szCs w:val="20"/>
                <w:vertAlign w:val="superscript"/>
              </w:rPr>
              <w:t> </w:t>
            </w:r>
            <w:r>
              <w:rPr>
                <w:color w:val="626262"/>
                <w:sz w:val="20"/>
                <w:szCs w:val="20"/>
              </w:rPr>
              <w:t>обязательств, не подлежащих погашению по требованию.</w:t>
            </w:r>
          </w:p>
          <w:p w:rsidR="00BB1376" w:rsidRDefault="00BB1376" w:rsidP="00BB1376">
            <w:pPr>
              <w:pStyle w:val="a3"/>
              <w:jc w:val="both"/>
              <w:rPr>
                <w:color w:val="626262"/>
                <w:sz w:val="20"/>
                <w:szCs w:val="20"/>
              </w:rPr>
            </w:pPr>
            <w:r>
              <w:rPr>
                <w:color w:val="626262"/>
                <w:sz w:val="20"/>
                <w:szCs w:val="20"/>
              </w:rPr>
              <w:t>AG119   Предприятие также выполняет другие требования относительно определения хеджируемых величин и документирования, изложенные в параграфе 88(а). Для хеджирования портфеля процентных рисков эти определения и документирование включают политику предприятия в отношении всех переменных значений, используемых для идентификации хеджируемой суммы, а также и оценки эффективности хеджирования, включая следующее:</w:t>
            </w:r>
          </w:p>
          <w:p w:rsidR="00BB1376" w:rsidRDefault="00BB1376" w:rsidP="00BB1376">
            <w:pPr>
              <w:pStyle w:val="a3"/>
              <w:jc w:val="both"/>
              <w:rPr>
                <w:color w:val="626262"/>
                <w:sz w:val="20"/>
                <w:szCs w:val="20"/>
              </w:rPr>
            </w:pPr>
            <w:r>
              <w:rPr>
                <w:color w:val="626262"/>
                <w:sz w:val="20"/>
                <w:szCs w:val="20"/>
              </w:rPr>
              <w:t>(а)           какие активы и обязательства должны быть включены в хеджируемый портфель и какая основа должна использоваться для их исключения из портфеля;</w:t>
            </w:r>
          </w:p>
          <w:p w:rsidR="00BB1376" w:rsidRDefault="00BB1376" w:rsidP="00BB1376">
            <w:pPr>
              <w:pStyle w:val="a3"/>
              <w:jc w:val="both"/>
              <w:rPr>
                <w:color w:val="626262"/>
                <w:sz w:val="20"/>
                <w:szCs w:val="20"/>
              </w:rPr>
            </w:pPr>
            <w:r>
              <w:rPr>
                <w:color w:val="626262"/>
                <w:sz w:val="20"/>
                <w:szCs w:val="20"/>
              </w:rPr>
              <w:t>(b)           как предприятие рассчитывает сроки пересмотра ставок процента, включая то, какие допущения по процентной ставке лежат в основе расчета ставок по предоплате и какова основа для изменения этих расчетных величин. Один и тот же метод используется как для первоначальных расчетных оценок в момент включения актива или обязательства в хеджируемый портфель, так и для последующих пересмотров этих расчетных величин;</w:t>
            </w:r>
          </w:p>
          <w:p w:rsidR="00BB1376" w:rsidRDefault="00BB1376" w:rsidP="00BB1376">
            <w:pPr>
              <w:pStyle w:val="a3"/>
              <w:jc w:val="both"/>
              <w:rPr>
                <w:color w:val="626262"/>
                <w:sz w:val="20"/>
                <w:szCs w:val="20"/>
              </w:rPr>
            </w:pPr>
            <w:r>
              <w:rPr>
                <w:color w:val="626262"/>
                <w:sz w:val="20"/>
                <w:szCs w:val="20"/>
              </w:rPr>
              <w:t>(c)           количество и продолжительность периодов пересмотра ставок процента;</w:t>
            </w:r>
          </w:p>
          <w:p w:rsidR="00BB1376" w:rsidRDefault="00BB1376" w:rsidP="00BB1376">
            <w:pPr>
              <w:pStyle w:val="a3"/>
              <w:jc w:val="both"/>
              <w:rPr>
                <w:color w:val="626262"/>
                <w:sz w:val="20"/>
                <w:szCs w:val="20"/>
              </w:rPr>
            </w:pPr>
            <w:r>
              <w:rPr>
                <w:color w:val="626262"/>
                <w:sz w:val="20"/>
                <w:szCs w:val="20"/>
              </w:rPr>
              <w:t>(d)           как часто предприятие будет проверять эффективность хеджирования и какой из двух методов, указанных в параграфе AG126, оно будет использовать;</w:t>
            </w:r>
          </w:p>
          <w:p w:rsidR="00BB1376" w:rsidRDefault="00BB1376" w:rsidP="00BB1376">
            <w:pPr>
              <w:pStyle w:val="a3"/>
              <w:jc w:val="both"/>
              <w:rPr>
                <w:color w:val="626262"/>
                <w:sz w:val="20"/>
                <w:szCs w:val="20"/>
              </w:rPr>
            </w:pPr>
            <w:r>
              <w:rPr>
                <w:color w:val="626262"/>
                <w:sz w:val="20"/>
                <w:szCs w:val="20"/>
              </w:rPr>
              <w:t>(e)           используемая предприятием методика определения суммы активов или обязательств, определенных в качестве хеджируемой статьи и, соответственно, процентный показатель, который используется, когда предприятие проверяет эффективность с применением метода, описанного в параграфе AG126(b);</w:t>
            </w:r>
          </w:p>
          <w:p w:rsidR="00BB1376" w:rsidRDefault="00BB1376" w:rsidP="00BB1376">
            <w:pPr>
              <w:pStyle w:val="a3"/>
              <w:jc w:val="both"/>
              <w:rPr>
                <w:color w:val="626262"/>
                <w:sz w:val="20"/>
                <w:szCs w:val="20"/>
              </w:rPr>
            </w:pPr>
            <w:r>
              <w:rPr>
                <w:color w:val="626262"/>
                <w:sz w:val="20"/>
                <w:szCs w:val="20"/>
              </w:rPr>
              <w:t xml:space="preserve">(f)            когда предприятие проверяет эффективность хеджирования с использованием метода, описанного </w:t>
            </w:r>
            <w:r>
              <w:rPr>
                <w:color w:val="626262"/>
                <w:sz w:val="20"/>
                <w:szCs w:val="20"/>
              </w:rPr>
              <w:lastRenderedPageBreak/>
              <w:t>в параграфе AG126(b), будет ли оно проверять эффективность для каждого периода пересмотра ставок процента отдельно, для всех периодов вместе или использовать какое-либо сочетание того и другого.</w:t>
            </w:r>
          </w:p>
          <w:p w:rsidR="00BB1376" w:rsidRDefault="00BB1376" w:rsidP="00BB1376">
            <w:pPr>
              <w:pStyle w:val="a3"/>
              <w:jc w:val="both"/>
              <w:rPr>
                <w:color w:val="626262"/>
                <w:sz w:val="20"/>
                <w:szCs w:val="20"/>
              </w:rPr>
            </w:pPr>
            <w:r>
              <w:rPr>
                <w:color w:val="626262"/>
                <w:sz w:val="20"/>
                <w:szCs w:val="20"/>
              </w:rPr>
              <w:t>Политика, установленная для определения и документирования отношения хеджирования, должна соответствовать процедурам и целям управления рисками предприятия. В политику не должны вноситься изменения в произвольном порядке. Они должны быть оправданы изменениями рыночных условий и других факторов, а также основываться на процедурах и целях управления рисками предприятия и соответствовать им.</w:t>
            </w:r>
          </w:p>
          <w:p w:rsidR="00BB1376" w:rsidRDefault="00BB1376" w:rsidP="00BB1376">
            <w:pPr>
              <w:pStyle w:val="a3"/>
              <w:jc w:val="both"/>
              <w:rPr>
                <w:color w:val="626262"/>
                <w:sz w:val="20"/>
                <w:szCs w:val="20"/>
              </w:rPr>
            </w:pPr>
            <w:r>
              <w:rPr>
                <w:color w:val="626262"/>
                <w:sz w:val="20"/>
                <w:szCs w:val="20"/>
              </w:rPr>
              <w:t>AG120   В качестве инструмента хеджирования, указанного в параграфе AG114(е), может выступать один производный инструмент или портфель производных инструментов, каждый из которых подвержен воздействию хеджируемого процентного риска, который определен в параграфе AG114(d) (например, портфель процентных свопов, каждый из которых подвержен воздействию изменения ставки ЛИБОР). Такой портфель производных инструментов может содержать компенсирующие друг друга рисковые позиции. Однако он не может включать выпущенные опционы или чистые выпущенные опционы, потому что стандарт</w:t>
            </w:r>
            <w:bookmarkStart w:id="10" w:name="_ftnref11"/>
            <w:r>
              <w:rPr>
                <w:color w:val="626262"/>
                <w:sz w:val="20"/>
                <w:szCs w:val="20"/>
              </w:rPr>
              <w:fldChar w:fldCharType="begin"/>
            </w:r>
            <w:r>
              <w:rPr>
                <w:color w:val="626262"/>
                <w:sz w:val="20"/>
                <w:szCs w:val="20"/>
              </w:rPr>
              <w:instrText xml:space="preserve"> HYPERLINK "http://www.kz-adviser.kz/official/32-ifrs/207-ias39" \l "_ftn11" </w:instrText>
            </w:r>
            <w:r>
              <w:rPr>
                <w:color w:val="626262"/>
                <w:sz w:val="20"/>
                <w:szCs w:val="20"/>
              </w:rPr>
              <w:fldChar w:fldCharType="separate"/>
            </w:r>
            <w:r>
              <w:rPr>
                <w:rStyle w:val="a6"/>
                <w:sz w:val="20"/>
                <w:szCs w:val="20"/>
              </w:rPr>
              <w:t>[11]</w:t>
            </w:r>
            <w:r>
              <w:rPr>
                <w:color w:val="626262"/>
                <w:sz w:val="20"/>
                <w:szCs w:val="20"/>
              </w:rPr>
              <w:fldChar w:fldCharType="end"/>
            </w:r>
            <w:bookmarkEnd w:id="10"/>
            <w:r>
              <w:rPr>
                <w:rStyle w:val="apple-converted-space"/>
                <w:color w:val="626262"/>
                <w:sz w:val="20"/>
                <w:szCs w:val="20"/>
              </w:rPr>
              <w:t> </w:t>
            </w:r>
            <w:r>
              <w:rPr>
                <w:color w:val="626262"/>
                <w:sz w:val="20"/>
                <w:szCs w:val="20"/>
              </w:rPr>
              <w:t>не разрешает определять такие опционы в качестве инструментов хеджирования (за исключением случаев, когда выпущенный опцион определяется в качестве компенсации для купленного опциона). Если инструмент хеджирования хеджирует сумму, определенную в параграфе AG114(с), на протяжении более одного периода пересмотра ставок процента, то он распределяется на все периоды, которые он хеджирует. Однако весь инструмент хеджирования должен быть распределен на эти периоды пересмотра ставок процента, поскольку стандарт</w:t>
            </w:r>
            <w:bookmarkStart w:id="11" w:name="_ftnref12"/>
            <w:r>
              <w:rPr>
                <w:color w:val="626262"/>
                <w:sz w:val="20"/>
                <w:szCs w:val="20"/>
              </w:rPr>
              <w:fldChar w:fldCharType="begin"/>
            </w:r>
            <w:r>
              <w:rPr>
                <w:color w:val="626262"/>
                <w:sz w:val="20"/>
                <w:szCs w:val="20"/>
              </w:rPr>
              <w:instrText xml:space="preserve"> HYPERLINK "http://www.kz-adviser.kz/official/32-ifrs/207-ias39" \l "_ftn12" </w:instrText>
            </w:r>
            <w:r>
              <w:rPr>
                <w:color w:val="626262"/>
                <w:sz w:val="20"/>
                <w:szCs w:val="20"/>
              </w:rPr>
              <w:fldChar w:fldCharType="separate"/>
            </w:r>
            <w:r>
              <w:rPr>
                <w:rStyle w:val="a6"/>
                <w:sz w:val="20"/>
                <w:szCs w:val="20"/>
              </w:rPr>
              <w:t>[12]</w:t>
            </w:r>
            <w:r>
              <w:rPr>
                <w:color w:val="626262"/>
                <w:sz w:val="20"/>
                <w:szCs w:val="20"/>
              </w:rPr>
              <w:fldChar w:fldCharType="end"/>
            </w:r>
            <w:bookmarkEnd w:id="11"/>
            <w:r>
              <w:rPr>
                <w:rStyle w:val="apple-converted-space"/>
                <w:color w:val="626262"/>
                <w:sz w:val="20"/>
                <w:szCs w:val="20"/>
              </w:rPr>
              <w:t> </w:t>
            </w:r>
            <w:r>
              <w:rPr>
                <w:color w:val="626262"/>
                <w:sz w:val="20"/>
                <w:szCs w:val="20"/>
              </w:rPr>
              <w:t>не разрешает определять отношение хеджирования только для части периода, в течение которого инструмент хеджирования остается в обращении.</w:t>
            </w:r>
          </w:p>
          <w:p w:rsidR="00BB1376" w:rsidRDefault="00BB1376" w:rsidP="00BB1376">
            <w:pPr>
              <w:pStyle w:val="a3"/>
              <w:jc w:val="both"/>
              <w:rPr>
                <w:color w:val="626262"/>
                <w:sz w:val="20"/>
                <w:szCs w:val="20"/>
              </w:rPr>
            </w:pPr>
            <w:r>
              <w:rPr>
                <w:color w:val="626262"/>
                <w:sz w:val="20"/>
                <w:szCs w:val="20"/>
              </w:rPr>
              <w:t>AG121   Когда предприятие измеряет изменение справедливой стоимости статей, по которым возможно досрочное погашение, в соответствии с параграфом AG114(g), изменение ставок процента влияет на справедливую стоимость статей, по которым возможно досрочное погашение, двумя способами: Изменение ставок процента влияет на договорные денежные потоки и на справедливую стоимость опциона досрочного погашения, встроенного в статью, которая может быть погашена досрочно. Параграф 81 данного стандарта разрешает предприятию определять часть финансового актива или финансового обязательства, имеющих общую подверженность риску, в качестве хеджируемой статьи, при условии, что эффективность хеджирования можно измерить. В отношении статей, по которым возможно досрочное погашение, параграф 81А разрешает делать это путем определения хеджируемой статьи на основе изменения справедливой стоимости, относимого на изменения назначенной процентной ставки, исходя из</w:t>
            </w:r>
            <w:r>
              <w:rPr>
                <w:rStyle w:val="a5"/>
                <w:color w:val="626262"/>
                <w:sz w:val="20"/>
                <w:szCs w:val="20"/>
              </w:rPr>
              <w:t>ожидаемых</w:t>
            </w:r>
            <w:r>
              <w:rPr>
                <w:color w:val="626262"/>
                <w:sz w:val="20"/>
                <w:szCs w:val="20"/>
              </w:rPr>
              <w:t>, а не</w:t>
            </w:r>
            <w:r>
              <w:rPr>
                <w:rStyle w:val="apple-converted-space"/>
                <w:color w:val="626262"/>
                <w:sz w:val="20"/>
                <w:szCs w:val="20"/>
              </w:rPr>
              <w:t> </w:t>
            </w:r>
            <w:r>
              <w:rPr>
                <w:rStyle w:val="a5"/>
                <w:color w:val="626262"/>
                <w:sz w:val="20"/>
                <w:szCs w:val="20"/>
              </w:rPr>
              <w:t>договорных</w:t>
            </w:r>
            <w:r>
              <w:rPr>
                <w:color w:val="626262"/>
                <w:sz w:val="20"/>
                <w:szCs w:val="20"/>
              </w:rPr>
              <w:t>, сроков пересмотра ставок процента. Однако влияние изменений хеджируемой процентной ставки на эти ожидаемые сроки пересмотра ставок процента должно учитываться при определении изменения справедливой стоимости хеджируемой статьи. Следовательно, если ожидаемые сроки пересмотра ставок процента меняются (например, с целью отражения изменения ожидаемого досрочного погашения) или фактические даты пересмотра ставок процента отличаются от ожидаемых, то это приведет к неэффективности хеджирования, описанной в параграфе AG126. И наоборот, изменения в ожидаемых сроках пересмотра ставок процента, которые (а) явно являются результатом факторов, отличных от изменений хеджируемой процентной ставки, (b) не коррелируют с изменениями хеджируемой процентной ставки и (с) могут быть надежно отделены от изменений, связанных с хеджируемой процентной ставкой (например, изменение уровня досрочных погашений, явно возникающее в результате изменения демографических факторов или налогового регулирования, а не изменения процентной ставки), не учитываются при определении изменения справедливой стоимости хеджируемой статьи, так как они не могут быть отнесены на хеджируемый риск. Если существует неопределенность относительно фактора, который приводит к изменению ожидаемых сроков пересмотра ставок процента, или предприятие не имеет возможности надежно отделить изменения, являющиеся результатом хеджируемой процентной ставки, от изменений, являющихся результатом других факторов, то предполагается, что это изменение возникло в результате изменений хеджируемой процентной ставки.</w:t>
            </w:r>
          </w:p>
          <w:p w:rsidR="00BB1376" w:rsidRDefault="00BB1376" w:rsidP="00BB1376">
            <w:pPr>
              <w:pStyle w:val="a3"/>
              <w:jc w:val="both"/>
              <w:rPr>
                <w:color w:val="626262"/>
                <w:sz w:val="20"/>
                <w:szCs w:val="20"/>
              </w:rPr>
            </w:pPr>
            <w:r>
              <w:rPr>
                <w:color w:val="626262"/>
                <w:sz w:val="20"/>
                <w:szCs w:val="20"/>
              </w:rPr>
              <w:t>AG122   Стандарт не устанавливает метод, используемый для определения суммы, указанной в параграфе AG114(g), то есть изменения справедливой стоимости хеджируемой статьи, относимого на хеджируемый риск. Если для такого измерения используется статистический или иной метод расчетной оценки, то руководство должно ожидать, что результат будет близким к тому результату, который был бы получен при измерении всех отдельных активов или обязательств, составляющих хеджируемую статью. Будет неправильным принимать допущение о том, что изменения справедливой стоимости хеджируемой статьи равны изменениям стоимости инструмента хеджирования.</w:t>
            </w:r>
          </w:p>
          <w:p w:rsidR="00BB1376" w:rsidRDefault="00BB1376" w:rsidP="00BB1376">
            <w:pPr>
              <w:pStyle w:val="a3"/>
              <w:jc w:val="both"/>
              <w:rPr>
                <w:color w:val="626262"/>
                <w:sz w:val="20"/>
                <w:szCs w:val="20"/>
              </w:rPr>
            </w:pPr>
            <w:r>
              <w:rPr>
                <w:color w:val="626262"/>
                <w:sz w:val="20"/>
                <w:szCs w:val="20"/>
              </w:rPr>
              <w:t xml:space="preserve">AG123   Параграф 89А требует, чтобы в случае, если хеджируемая статья в определенном периоде пересмотра ставок процента является активом, изменение ее стоимости отражалось отдельной статьей в составе активов. И наоборот, если хеджируемая статья в определенном периоде пересмотра ставок процента </w:t>
            </w:r>
            <w:r>
              <w:rPr>
                <w:color w:val="626262"/>
                <w:sz w:val="20"/>
                <w:szCs w:val="20"/>
              </w:rPr>
              <w:lastRenderedPageBreak/>
              <w:t>является обязательством, изменение ее стоимости представляется отдельной статьей в составе обязательств. Это те отдельные статьи, на которые указывает параграф AG114(g). Распределение по отдельным активам (или обязательствам) не требуется.</w:t>
            </w:r>
          </w:p>
          <w:p w:rsidR="00BB1376" w:rsidRDefault="00BB1376" w:rsidP="00BB1376">
            <w:pPr>
              <w:pStyle w:val="a3"/>
              <w:jc w:val="both"/>
              <w:rPr>
                <w:color w:val="626262"/>
                <w:sz w:val="20"/>
                <w:szCs w:val="20"/>
              </w:rPr>
            </w:pPr>
            <w:r>
              <w:rPr>
                <w:color w:val="626262"/>
                <w:sz w:val="20"/>
                <w:szCs w:val="20"/>
              </w:rPr>
              <w:t>AG124   В параграфе AG114(i) отмечается, что неэффективность хеджирования возникает в той мере, в какой изменение справедливой стоимости хеджируемой статьи, связанное с хеджируемым риском, отличается от изменения справедливой стоимости производного инструмента хеджирования. Такое различие может появиться по ряду причин, включая следующие:</w:t>
            </w:r>
          </w:p>
          <w:p w:rsidR="00BB1376" w:rsidRDefault="00BB1376" w:rsidP="00BB1376">
            <w:pPr>
              <w:pStyle w:val="a3"/>
              <w:jc w:val="both"/>
              <w:rPr>
                <w:color w:val="626262"/>
                <w:sz w:val="20"/>
                <w:szCs w:val="20"/>
              </w:rPr>
            </w:pPr>
            <w:r>
              <w:rPr>
                <w:color w:val="626262"/>
                <w:sz w:val="20"/>
                <w:szCs w:val="20"/>
              </w:rPr>
              <w:t>(а)           фактические сроки пересмотра ставок процента отличаются от ожидаемых, или ожидаемые сроки пересмотра ставок процента изменяются;</w:t>
            </w:r>
          </w:p>
          <w:p w:rsidR="00BB1376" w:rsidRDefault="00BB1376" w:rsidP="00BB1376">
            <w:pPr>
              <w:pStyle w:val="a3"/>
              <w:jc w:val="both"/>
              <w:rPr>
                <w:color w:val="626262"/>
                <w:sz w:val="20"/>
                <w:szCs w:val="20"/>
              </w:rPr>
            </w:pPr>
            <w:r>
              <w:rPr>
                <w:color w:val="626262"/>
                <w:sz w:val="20"/>
                <w:szCs w:val="20"/>
              </w:rPr>
              <w:t>(b)           статьи в хеджируемом портфеле обесцениваются или прекращается их признание;</w:t>
            </w:r>
          </w:p>
          <w:p w:rsidR="00BB1376" w:rsidRDefault="00BB1376" w:rsidP="00BB1376">
            <w:pPr>
              <w:pStyle w:val="a3"/>
              <w:jc w:val="both"/>
              <w:rPr>
                <w:color w:val="626262"/>
                <w:sz w:val="20"/>
                <w:szCs w:val="20"/>
              </w:rPr>
            </w:pPr>
            <w:r>
              <w:rPr>
                <w:color w:val="626262"/>
                <w:sz w:val="20"/>
                <w:szCs w:val="20"/>
              </w:rPr>
              <w:t>(c)           даты платежей по инструменту хеджирования и хеджируемой статье различаются; и</w:t>
            </w:r>
          </w:p>
          <w:p w:rsidR="00BB1376" w:rsidRDefault="00BB1376" w:rsidP="00BB1376">
            <w:pPr>
              <w:pStyle w:val="a3"/>
              <w:jc w:val="both"/>
              <w:rPr>
                <w:color w:val="626262"/>
                <w:sz w:val="20"/>
                <w:szCs w:val="20"/>
              </w:rPr>
            </w:pPr>
            <w:r>
              <w:rPr>
                <w:color w:val="626262"/>
                <w:sz w:val="20"/>
                <w:szCs w:val="20"/>
              </w:rPr>
              <w:t>(d)           другие причины (например, когда по нескольким из хеджируемых статей начисляются проценты по более низкой ставке, чем базовая ставка, для которой эти статьи определялись в качестве хеджируемых, а возникающий неэффективный результат не настолько велик, чтобы портфель целиком перестал удовлетворять требованиям учета операций хеджирования).</w:t>
            </w:r>
          </w:p>
          <w:p w:rsidR="00BB1376" w:rsidRDefault="00BB1376" w:rsidP="00BB1376">
            <w:pPr>
              <w:pStyle w:val="a3"/>
              <w:jc w:val="both"/>
              <w:rPr>
                <w:color w:val="626262"/>
                <w:sz w:val="20"/>
                <w:szCs w:val="20"/>
              </w:rPr>
            </w:pPr>
            <w:r>
              <w:rPr>
                <w:color w:val="626262"/>
                <w:sz w:val="20"/>
                <w:szCs w:val="20"/>
              </w:rPr>
              <w:t>Такая неэффективность</w:t>
            </w:r>
            <w:bookmarkStart w:id="12" w:name="_ftnref13"/>
            <w:r>
              <w:rPr>
                <w:color w:val="626262"/>
                <w:sz w:val="20"/>
                <w:szCs w:val="20"/>
              </w:rPr>
              <w:fldChar w:fldCharType="begin"/>
            </w:r>
            <w:r>
              <w:rPr>
                <w:color w:val="626262"/>
                <w:sz w:val="20"/>
                <w:szCs w:val="20"/>
              </w:rPr>
              <w:instrText xml:space="preserve"> HYPERLINK "http://www.kz-adviser.kz/official/32-ifrs/207-ias39" \l "_ftn13" </w:instrText>
            </w:r>
            <w:r>
              <w:rPr>
                <w:color w:val="626262"/>
                <w:sz w:val="20"/>
                <w:szCs w:val="20"/>
              </w:rPr>
              <w:fldChar w:fldCharType="separate"/>
            </w:r>
            <w:r>
              <w:rPr>
                <w:rStyle w:val="a6"/>
                <w:sz w:val="20"/>
                <w:szCs w:val="20"/>
              </w:rPr>
              <w:t>[13]</w:t>
            </w:r>
            <w:r>
              <w:rPr>
                <w:color w:val="626262"/>
                <w:sz w:val="20"/>
                <w:szCs w:val="20"/>
              </w:rPr>
              <w:fldChar w:fldCharType="end"/>
            </w:r>
            <w:bookmarkEnd w:id="12"/>
            <w:r>
              <w:rPr>
                <w:rStyle w:val="apple-converted-space"/>
                <w:color w:val="626262"/>
                <w:sz w:val="20"/>
                <w:szCs w:val="20"/>
              </w:rPr>
              <w:t> </w:t>
            </w:r>
            <w:r>
              <w:rPr>
                <w:color w:val="626262"/>
                <w:sz w:val="20"/>
                <w:szCs w:val="20"/>
              </w:rPr>
              <w:t>должна быть определена и отнесена на прибыль или убыток.</w:t>
            </w:r>
          </w:p>
          <w:p w:rsidR="00BB1376" w:rsidRDefault="00BB1376" w:rsidP="00BB1376">
            <w:pPr>
              <w:pStyle w:val="a3"/>
              <w:jc w:val="both"/>
              <w:rPr>
                <w:color w:val="626262"/>
                <w:sz w:val="20"/>
                <w:szCs w:val="20"/>
              </w:rPr>
            </w:pPr>
            <w:r>
              <w:rPr>
                <w:color w:val="626262"/>
                <w:sz w:val="20"/>
                <w:szCs w:val="20"/>
              </w:rPr>
              <w:t>AG125   Обычно эффективность хеджирования повышается:</w:t>
            </w:r>
          </w:p>
          <w:p w:rsidR="00BB1376" w:rsidRDefault="00BB1376" w:rsidP="00BB1376">
            <w:pPr>
              <w:pStyle w:val="a3"/>
              <w:jc w:val="both"/>
              <w:rPr>
                <w:color w:val="626262"/>
                <w:sz w:val="20"/>
                <w:szCs w:val="20"/>
              </w:rPr>
            </w:pPr>
            <w:r>
              <w:rPr>
                <w:color w:val="626262"/>
                <w:sz w:val="20"/>
                <w:szCs w:val="20"/>
              </w:rPr>
              <w:t>(а)           если предприятие составляет график по статьям с различными характеристиками досрочного погашения таким образом, что учитываются различия в режиме досрочного погашения;</w:t>
            </w:r>
          </w:p>
          <w:p w:rsidR="00BB1376" w:rsidRDefault="00BB1376" w:rsidP="00BB1376">
            <w:pPr>
              <w:pStyle w:val="a3"/>
              <w:jc w:val="both"/>
              <w:rPr>
                <w:color w:val="626262"/>
                <w:sz w:val="20"/>
                <w:szCs w:val="20"/>
              </w:rPr>
            </w:pPr>
            <w:r>
              <w:rPr>
                <w:color w:val="626262"/>
                <w:sz w:val="20"/>
                <w:szCs w:val="20"/>
              </w:rPr>
              <w:t>(b)           когда в портфеле большое количество статей. В тех случаях, когда в портфеле содержится всего лишь несколько статей, то вероятна относительно высокая неэффективность, если по одной из статей досрочное погашение происходит раньше или позже, чем ожидалось. И наоборот, когда портфель содержит много статей, режим досрочного погашения можно предсказать более точно;</w:t>
            </w:r>
          </w:p>
          <w:p w:rsidR="00BB1376" w:rsidRDefault="00BB1376" w:rsidP="00BB1376">
            <w:pPr>
              <w:pStyle w:val="a3"/>
              <w:jc w:val="both"/>
              <w:rPr>
                <w:color w:val="626262"/>
                <w:sz w:val="20"/>
                <w:szCs w:val="20"/>
              </w:rPr>
            </w:pPr>
            <w:r>
              <w:rPr>
                <w:color w:val="626262"/>
                <w:sz w:val="20"/>
                <w:szCs w:val="20"/>
              </w:rPr>
              <w:t>(c)           когда используются более короткие периоды пересмотра ставок процента (например, 1-месячные периоды, а не 3-месячные периоды пересмотра ставок процента). Более короткий период пересмотра ставок процента снижает эффект несоответствия между датами пересмотра ставок процента и платежа (в пределах периода пересмотра ставок процента) по хеджируемой статье и датами пересмотра ставок процента и платежа по инструменту хеджирования;</w:t>
            </w:r>
          </w:p>
          <w:p w:rsidR="00BB1376" w:rsidRDefault="00BB1376" w:rsidP="00BB1376">
            <w:pPr>
              <w:pStyle w:val="a3"/>
              <w:jc w:val="both"/>
              <w:rPr>
                <w:color w:val="626262"/>
                <w:sz w:val="20"/>
                <w:szCs w:val="20"/>
              </w:rPr>
            </w:pPr>
            <w:r>
              <w:rPr>
                <w:color w:val="626262"/>
                <w:sz w:val="20"/>
                <w:szCs w:val="20"/>
              </w:rPr>
              <w:t>(d)           при более частом проведении корректировки суммы инструмента хеджирования с целью отражения изменений в хеджируемой статье (например, вследствие изменений в ожиданиях относительно досрочного погашения).</w:t>
            </w:r>
          </w:p>
          <w:p w:rsidR="00BB1376" w:rsidRDefault="00BB1376" w:rsidP="00BB1376">
            <w:pPr>
              <w:pStyle w:val="a3"/>
              <w:jc w:val="both"/>
              <w:rPr>
                <w:color w:val="626262"/>
                <w:sz w:val="20"/>
                <w:szCs w:val="20"/>
              </w:rPr>
            </w:pPr>
            <w:r>
              <w:rPr>
                <w:color w:val="626262"/>
                <w:sz w:val="20"/>
                <w:szCs w:val="20"/>
              </w:rPr>
              <w:t>AG126   Предприятие периодически проверяет эффективность хеджирования. Если расчетные сроки пересмотра ставок процента меняются в промежутке между двумя датами оценки эффективности хеджирования, то предприятие рассчитывает значение эффективности:</w:t>
            </w:r>
          </w:p>
          <w:p w:rsidR="00BB1376" w:rsidRDefault="00BB1376" w:rsidP="00BB1376">
            <w:pPr>
              <w:pStyle w:val="a3"/>
              <w:jc w:val="both"/>
              <w:rPr>
                <w:color w:val="626262"/>
                <w:sz w:val="20"/>
                <w:szCs w:val="20"/>
              </w:rPr>
            </w:pPr>
            <w:r>
              <w:rPr>
                <w:color w:val="626262"/>
                <w:sz w:val="20"/>
                <w:szCs w:val="20"/>
              </w:rPr>
              <w:t>(а)           как разницу между изменением справедливой стоимости инструмента хеджирования (см. параграф AG114(h) и изменением стоимости всей хеджируемой статьи, которое связано с изменениями хеджируемой процентной ставки (включая воздействие изменений хеджируемой процентной ставки на справедливую стоимость встроенного опциона на досрочное погашение); либо</w:t>
            </w:r>
          </w:p>
          <w:p w:rsidR="00BB1376" w:rsidRDefault="00BB1376" w:rsidP="00BB1376">
            <w:pPr>
              <w:pStyle w:val="a3"/>
              <w:jc w:val="both"/>
              <w:rPr>
                <w:color w:val="626262"/>
                <w:sz w:val="20"/>
                <w:szCs w:val="20"/>
              </w:rPr>
            </w:pPr>
            <w:r>
              <w:rPr>
                <w:color w:val="626262"/>
                <w:sz w:val="20"/>
                <w:szCs w:val="20"/>
              </w:rPr>
              <w:t>(b)           используя следующие приблизительные расчеты. Предприятие:</w:t>
            </w:r>
          </w:p>
          <w:p w:rsidR="00BB1376" w:rsidRDefault="00BB1376" w:rsidP="00BB1376">
            <w:pPr>
              <w:pStyle w:val="a3"/>
              <w:jc w:val="both"/>
              <w:rPr>
                <w:color w:val="626262"/>
                <w:sz w:val="20"/>
                <w:szCs w:val="20"/>
              </w:rPr>
            </w:pPr>
            <w:r>
              <w:rPr>
                <w:color w:val="626262"/>
                <w:sz w:val="20"/>
                <w:szCs w:val="20"/>
              </w:rPr>
              <w:t>(i)            рассчитывает процент активов (или обязательств) в каждом хеджированном периоде пересмотра ставок процента на основе расчетных сроков пересмотра ставок процента на последнюю дату проверки эффективности хеджирования;</w:t>
            </w:r>
          </w:p>
          <w:p w:rsidR="00BB1376" w:rsidRDefault="00BB1376" w:rsidP="00BB1376">
            <w:pPr>
              <w:pStyle w:val="a3"/>
              <w:jc w:val="both"/>
              <w:rPr>
                <w:color w:val="626262"/>
                <w:sz w:val="20"/>
                <w:szCs w:val="20"/>
              </w:rPr>
            </w:pPr>
            <w:r>
              <w:rPr>
                <w:color w:val="626262"/>
                <w:sz w:val="20"/>
                <w:szCs w:val="20"/>
              </w:rPr>
              <w:t xml:space="preserve">(ii)           применяет это процентное отношение к пересмотренной расчетной величине в этом периоде </w:t>
            </w:r>
            <w:r>
              <w:rPr>
                <w:color w:val="626262"/>
                <w:sz w:val="20"/>
                <w:szCs w:val="20"/>
              </w:rPr>
              <w:lastRenderedPageBreak/>
              <w:t>пересмотра ставок процента, для того чтобы рассчитать сумму хеджируемой статьи на основе пересмотренной расчетной величины;</w:t>
            </w:r>
          </w:p>
          <w:p w:rsidR="00BB1376" w:rsidRDefault="00BB1376" w:rsidP="00BB1376">
            <w:pPr>
              <w:pStyle w:val="a3"/>
              <w:jc w:val="both"/>
              <w:rPr>
                <w:color w:val="626262"/>
                <w:sz w:val="20"/>
                <w:szCs w:val="20"/>
              </w:rPr>
            </w:pPr>
            <w:r>
              <w:rPr>
                <w:color w:val="626262"/>
                <w:sz w:val="20"/>
                <w:szCs w:val="20"/>
              </w:rPr>
              <w:t>(iii)          рассчитывает изменение справедливой стоимости пересмотренной расчетной величины хеджируемой статьи, связанное с хеджируемым риском, и представляет его так, как изложено в параграфе AG114(g);</w:t>
            </w:r>
          </w:p>
          <w:p w:rsidR="00BB1376" w:rsidRDefault="00BB1376" w:rsidP="00BB1376">
            <w:pPr>
              <w:pStyle w:val="a3"/>
              <w:jc w:val="both"/>
              <w:rPr>
                <w:color w:val="626262"/>
                <w:sz w:val="20"/>
                <w:szCs w:val="20"/>
              </w:rPr>
            </w:pPr>
            <w:r>
              <w:rPr>
                <w:color w:val="626262"/>
                <w:sz w:val="20"/>
                <w:szCs w:val="20"/>
              </w:rPr>
              <w:t>(iv)          признает неэффективность в сумме, равной разнице между суммой, которая была определена в пункте (iii), и изменением справедливой стоимости инструмента хеджирования (см. параграф AG114(h).</w:t>
            </w:r>
          </w:p>
          <w:p w:rsidR="00BB1376" w:rsidRDefault="00BB1376" w:rsidP="00BB1376">
            <w:pPr>
              <w:pStyle w:val="a3"/>
              <w:jc w:val="both"/>
              <w:rPr>
                <w:color w:val="626262"/>
                <w:sz w:val="20"/>
                <w:szCs w:val="20"/>
              </w:rPr>
            </w:pPr>
            <w:r>
              <w:rPr>
                <w:color w:val="626262"/>
                <w:sz w:val="20"/>
                <w:szCs w:val="20"/>
              </w:rPr>
              <w:t>AG127   При измерении эффективности предприятие устанавливает различие между изменениями сроков пересмотра ставок процента по существующим активам (или обязательствам) и возникновением новых активов (или обязательств), причем только первое приводит к неэффективности хеджирования. Все изменения в расчетных сроках пересмотра ставок процента (кроме тех, которые не учитываются в соответствии с параграфом AG121), включая перераспределение существующих статей по периодам, учитываются при пересмотре расчетной величины в периоде в соответствии с параграфом AG126(b)(ii) и, следовательно, при измерении эффективности хеджирования. После того, как признается неэффективность хеджирования, как указывалось ранее, предприятие устанавливает новую расчетную величину суммарных активов (или обязательств) в каждом периоде пересмотра ставок процента, включая новые активы (или обязательства), возникшие с момента последней проверки эффективности хеджирования, и определяет новую сумму в качестве хеджируемой статьи и новое процентное отношение в качестве хеджируемого процентного отношения. Изложенные в параграфе AG126(b) процедуры затем повторяются на следующую дату проверки эффективности хеджирования.</w:t>
            </w:r>
          </w:p>
          <w:p w:rsidR="00BB1376" w:rsidRDefault="00BB1376" w:rsidP="00BB1376">
            <w:pPr>
              <w:pStyle w:val="a3"/>
              <w:jc w:val="both"/>
              <w:rPr>
                <w:color w:val="626262"/>
                <w:sz w:val="20"/>
                <w:szCs w:val="20"/>
              </w:rPr>
            </w:pPr>
            <w:r>
              <w:rPr>
                <w:color w:val="626262"/>
                <w:sz w:val="20"/>
                <w:szCs w:val="20"/>
              </w:rPr>
              <w:t>AG128   Предприятие может прекратить признание статей, которые были изначально отнесены в тот или иной период пересмотра ставок процента, из-за того, что досрочное погашение или списание сумм, вызванные обесценением или продажей, произошли раньше, чем ожидалось. Когда это происходит, сумма изменения справедливой стоимости, которая включена в указанную в параграфе AG114(g) отдельную статью, относящаяся к статье, которую предприятие прекратило признавать, должна быть исключена из баланса и включена в состав прибыли или убытка, возникающего при прекращении признания статьи. Для этих целей необходимо знать, к какому периоду (периодам) пересмотра ставок процента была отнесена статья, которую предприятие прекратило признавать, так как это позволяет определить, из какого периода (периодов) пересмотра ставок процента нужно исключить эту статью и, следовательно, какую сумму нужно исключить из отдельной статьи, указанной в параграфе AG114(g). Если можно определить, в какой период была включена статья, то при прекращении ее признания она исключается из этого периода. Когда это невозможно, такая статья исключается из самого раннего периода, если прекращение признания явилось результатом досрочного погашения, которое оказалось выше ожидаемого, либо распределяется на все периоды, содержащие статью, которую предприятие прекратило признавать, на систематической и рациональной основе, если статья была продана или обесценилась.</w:t>
            </w:r>
          </w:p>
          <w:p w:rsidR="00BB1376" w:rsidRDefault="00BB1376" w:rsidP="00BB1376">
            <w:pPr>
              <w:pStyle w:val="a3"/>
              <w:jc w:val="both"/>
              <w:rPr>
                <w:color w:val="626262"/>
                <w:sz w:val="20"/>
                <w:szCs w:val="20"/>
              </w:rPr>
            </w:pPr>
            <w:r>
              <w:rPr>
                <w:color w:val="626262"/>
                <w:sz w:val="20"/>
                <w:szCs w:val="20"/>
              </w:rPr>
              <w:t>AG129   Кроме того, любая относящаяся к определенному периоду сумма, которую предприятие не прекратило признавать после истечения этого периода, в этот момент относится на прибыль или убыток (см. параграф 89А). Например, предположим, что предприятие планирует статьи в трех периодах пересмотра ставок процента. При предыдущем пересмотре величин, определенных для хеджирования, изменение справедливой стоимости, отраженное в отдельной статье баланса, представляло собой актив в размере 25 д.е. Эта сумма представляет суммы, относимые на периоды 1, 2 и 3, которые составляют 7 д.е., 8 д.е. и 10 д.е. соответственно. При следующем пересмотре величин, определенных для хеджирования, активы, относимые на период 1, были либо реализованы, либо перепланированы на другие периоды. Поэтому предприятие прекращает признавать сумму в 7 д.е. в балансе и признает ее в составе прибыли или убытка. 8 д.е. и 10 д.е. теперь относятся к периодам 1 и 2, соответственно. Эти оставшиеся периоды затем при необходимости корректируются на величину изменения справедливой стоимости, как описано в параграфе AG114(g).</w:t>
            </w:r>
          </w:p>
          <w:p w:rsidR="00BB1376" w:rsidRDefault="00BB1376" w:rsidP="00BB1376">
            <w:pPr>
              <w:pStyle w:val="a3"/>
              <w:jc w:val="both"/>
              <w:rPr>
                <w:color w:val="626262"/>
                <w:sz w:val="20"/>
                <w:szCs w:val="20"/>
              </w:rPr>
            </w:pPr>
            <w:r>
              <w:rPr>
                <w:color w:val="626262"/>
                <w:sz w:val="20"/>
                <w:szCs w:val="20"/>
              </w:rPr>
              <w:t>AG130   В качестве иллюстрации требований двух предыдущих параграфов предположим, что предприятие составило график по активам, распределив определенный процент портфеля на все периоды пересмотра ставок процента. Также предположим, что оно запланировало по 100 д.е. в каждом из первых двух периодов. Когда истекает первый период пересмотра ставок процента, предприятие прекращает признание активов в размере 110 д.е. из-за ожидаемых и непредвиденных досрочных погашений. В этом случае вся сумма, содержащаяся в отдельной статье, указанной в параграфе AG114(g), которая относится к первому периоду, исключается из баланса, при этом исключаются и 10 процентов суммы, относящейся ко второму периоду.</w:t>
            </w:r>
          </w:p>
          <w:p w:rsidR="00BB1376" w:rsidRDefault="00BB1376" w:rsidP="00BB1376">
            <w:pPr>
              <w:pStyle w:val="a3"/>
              <w:jc w:val="both"/>
              <w:rPr>
                <w:color w:val="626262"/>
                <w:sz w:val="20"/>
                <w:szCs w:val="20"/>
              </w:rPr>
            </w:pPr>
            <w:r>
              <w:rPr>
                <w:color w:val="626262"/>
                <w:sz w:val="20"/>
                <w:szCs w:val="20"/>
              </w:rPr>
              <w:lastRenderedPageBreak/>
              <w:t>AG131   Если хеджируемая статья в периоде пересмотра ставок процента уменьшается без прекращения признания соответствующих активов (или обязательств), то сумма, которая включена в указанную в параграфе AG114(g) отдельную статью, относящаяся к этому уменьшению, подлежит амортизации в соответствии с параграфом 92.</w:t>
            </w:r>
          </w:p>
          <w:p w:rsidR="00BB1376" w:rsidRDefault="00BB1376" w:rsidP="00BB1376">
            <w:pPr>
              <w:pStyle w:val="a3"/>
              <w:jc w:val="both"/>
              <w:rPr>
                <w:color w:val="626262"/>
                <w:sz w:val="20"/>
                <w:szCs w:val="20"/>
              </w:rPr>
            </w:pPr>
            <w:r>
              <w:rPr>
                <w:color w:val="626262"/>
                <w:sz w:val="20"/>
                <w:szCs w:val="20"/>
              </w:rPr>
              <w:t>AG132   Предприятие может пожелать применить изложенный в параграфах AG114-AG131 подход к хеджируемому портфелю, который ранее, в соответствии с МСФО (IAS) 39, учитывался как хеджирование потоков денежных средств. Оно также переопределяет хеджирование как хеджирование справедливой стоимости и применяет подход, изложенный в параграфах AG114-AG131, перспективно к последующим учетным периодам.</w:t>
            </w:r>
          </w:p>
          <w:p w:rsidR="00BB1376" w:rsidRDefault="00BB1376" w:rsidP="00BB1376">
            <w:pPr>
              <w:pStyle w:val="a3"/>
              <w:jc w:val="both"/>
              <w:rPr>
                <w:color w:val="626262"/>
                <w:sz w:val="20"/>
                <w:szCs w:val="20"/>
              </w:rPr>
            </w:pPr>
            <w:r>
              <w:rPr>
                <w:color w:val="626262"/>
                <w:sz w:val="20"/>
                <w:szCs w:val="20"/>
              </w:rPr>
              <w:t> </w:t>
            </w:r>
          </w:p>
          <w:p w:rsidR="00BB1376" w:rsidRDefault="00BB1376" w:rsidP="00BB1376">
            <w:pPr>
              <w:pStyle w:val="a3"/>
              <w:jc w:val="both"/>
              <w:rPr>
                <w:color w:val="626262"/>
                <w:sz w:val="20"/>
                <w:szCs w:val="20"/>
              </w:rPr>
            </w:pPr>
            <w:r>
              <w:rPr>
                <w:rStyle w:val="a4"/>
                <w:color w:val="626262"/>
                <w:sz w:val="20"/>
                <w:szCs w:val="20"/>
              </w:rPr>
              <w:t>Переход к новому порядку учета (пункты 103-108B)</w:t>
            </w:r>
          </w:p>
          <w:p w:rsidR="00BB1376" w:rsidRDefault="00BB1376" w:rsidP="00BB1376">
            <w:pPr>
              <w:pStyle w:val="a3"/>
              <w:jc w:val="both"/>
              <w:rPr>
                <w:color w:val="626262"/>
                <w:sz w:val="20"/>
                <w:szCs w:val="20"/>
              </w:rPr>
            </w:pPr>
            <w:r>
              <w:rPr>
                <w:color w:val="626262"/>
                <w:sz w:val="20"/>
                <w:szCs w:val="20"/>
              </w:rPr>
              <w:t>AG133   Предприятие могло классифицировать прогнозируемую внутригрупповую сделку как хеджируемую статью в начале годового периода, начинающегося 1 января 2005 г. или после этой даты (или, в целях пересчета сравнительной информации, в начале более раннего сравнительного периода) при хеджировании, удовлетворяющем критериям для учета хеджирования в соответствии с настоящим стандартом (с изменениями, введенными последним предложением пункта 80). Такое предприятие может использовать эту классификацию для того, чтобы применять учет хеджирования в консолидированной финансовой отчетности с начала годового периода, начинающегося 1 января 2005 г. или после этой даты (или с начала более раннего сравнительного периода). Это предприятие также должно применять пункты AG99A с AG99B с начала годового периода, начинающегося 1 января 2005 г. или после этой даты.</w:t>
            </w:r>
          </w:p>
          <w:p w:rsidR="00BB1376" w:rsidRDefault="00BB1376" w:rsidP="00BB1376">
            <w:pPr>
              <w:jc w:val="both"/>
              <w:rPr>
                <w:color w:val="626262"/>
                <w:sz w:val="20"/>
                <w:szCs w:val="20"/>
              </w:rPr>
            </w:pPr>
            <w:r>
              <w:rPr>
                <w:color w:val="626262"/>
                <w:sz w:val="20"/>
                <w:szCs w:val="20"/>
              </w:rPr>
              <w:br w:type="textWrapping" w:clear="all"/>
            </w:r>
          </w:p>
          <w:p w:rsidR="00BB1376" w:rsidRDefault="00BB1376" w:rsidP="00BB1376">
            <w:pPr>
              <w:jc w:val="both"/>
              <w:rPr>
                <w:color w:val="626262"/>
                <w:sz w:val="20"/>
                <w:szCs w:val="20"/>
              </w:rPr>
            </w:pPr>
            <w:r>
              <w:rPr>
                <w:color w:val="626262"/>
                <w:sz w:val="20"/>
                <w:szCs w:val="20"/>
              </w:rPr>
              <w:pict>
                <v:rect id="_x0000_i1025" style="width:154.35pt;height:.75pt" o:hrpct="330" o:hrstd="t" o:hr="t" fillcolor="#aca899" stroked="f"/>
              </w:pict>
            </w:r>
          </w:p>
          <w:bookmarkStart w:id="13" w:name="_ftn1"/>
          <w:p w:rsidR="00BB1376" w:rsidRDefault="00BB1376" w:rsidP="00BB1376">
            <w:pPr>
              <w:pStyle w:val="a3"/>
              <w:jc w:val="both"/>
              <w:rPr>
                <w:color w:val="626262"/>
                <w:sz w:val="20"/>
                <w:szCs w:val="20"/>
              </w:rPr>
            </w:pPr>
            <w:r>
              <w:rPr>
                <w:color w:val="626262"/>
                <w:sz w:val="20"/>
                <w:szCs w:val="20"/>
              </w:rPr>
              <w:fldChar w:fldCharType="begin"/>
            </w:r>
            <w:r>
              <w:rPr>
                <w:color w:val="626262"/>
                <w:sz w:val="20"/>
                <w:szCs w:val="20"/>
              </w:rPr>
              <w:instrText xml:space="preserve"> HYPERLINK "http://www.kz-adviser.kz/official/32-ifrs/207-ias39" \l "_ftnref1" </w:instrText>
            </w:r>
            <w:r>
              <w:rPr>
                <w:color w:val="626262"/>
                <w:sz w:val="20"/>
                <w:szCs w:val="20"/>
              </w:rPr>
              <w:fldChar w:fldCharType="separate"/>
            </w:r>
            <w:r>
              <w:rPr>
                <w:rStyle w:val="a6"/>
                <w:sz w:val="20"/>
                <w:szCs w:val="20"/>
              </w:rPr>
              <w:t>[*]</w:t>
            </w:r>
            <w:r>
              <w:rPr>
                <w:color w:val="626262"/>
                <w:sz w:val="20"/>
                <w:szCs w:val="20"/>
              </w:rPr>
              <w:fldChar w:fldCharType="end"/>
            </w:r>
            <w:bookmarkEnd w:id="13"/>
            <w:r>
              <w:rPr>
                <w:rStyle w:val="apple-converted-space"/>
                <w:color w:val="626262"/>
                <w:sz w:val="20"/>
                <w:szCs w:val="20"/>
              </w:rPr>
              <w:t> </w:t>
            </w:r>
            <w:r>
              <w:rPr>
                <w:color w:val="626262"/>
                <w:sz w:val="20"/>
                <w:szCs w:val="20"/>
              </w:rPr>
              <w:t>Параграфы 48, -49 и AG69-AG82 приложения А содержат требования по определению справедливой стоимости финансового актива или финансового обязательства.</w:t>
            </w:r>
          </w:p>
          <w:bookmarkStart w:id="14" w:name="_ftn2"/>
          <w:p w:rsidR="00BB1376" w:rsidRDefault="00BB1376" w:rsidP="00BB1376">
            <w:pPr>
              <w:pStyle w:val="a3"/>
              <w:jc w:val="both"/>
              <w:rPr>
                <w:color w:val="626262"/>
                <w:sz w:val="20"/>
                <w:szCs w:val="20"/>
              </w:rPr>
            </w:pPr>
            <w:r>
              <w:rPr>
                <w:color w:val="626262"/>
                <w:sz w:val="20"/>
                <w:szCs w:val="20"/>
              </w:rPr>
              <w:fldChar w:fldCharType="begin"/>
            </w:r>
            <w:r>
              <w:rPr>
                <w:color w:val="626262"/>
                <w:sz w:val="20"/>
                <w:szCs w:val="20"/>
              </w:rPr>
              <w:instrText xml:space="preserve"> HYPERLINK "http://www.kz-adviser.kz/official/32-ifrs/207-ias39" \l "_ftnref2" </w:instrText>
            </w:r>
            <w:r>
              <w:rPr>
                <w:color w:val="626262"/>
                <w:sz w:val="20"/>
                <w:szCs w:val="20"/>
              </w:rPr>
              <w:fldChar w:fldCharType="separate"/>
            </w:r>
            <w:r>
              <w:rPr>
                <w:rStyle w:val="a6"/>
                <w:sz w:val="20"/>
                <w:szCs w:val="20"/>
              </w:rPr>
              <w:t>[†]</w:t>
            </w:r>
            <w:r>
              <w:rPr>
                <w:color w:val="626262"/>
                <w:sz w:val="20"/>
                <w:szCs w:val="20"/>
              </w:rPr>
              <w:fldChar w:fldCharType="end"/>
            </w:r>
            <w:bookmarkEnd w:id="14"/>
            <w:r>
              <w:rPr>
                <w:rStyle w:val="apple-converted-space"/>
                <w:color w:val="626262"/>
                <w:sz w:val="20"/>
                <w:szCs w:val="20"/>
              </w:rPr>
              <w:t> </w:t>
            </w:r>
            <w:r>
              <w:rPr>
                <w:color w:val="626262"/>
                <w:sz w:val="20"/>
                <w:szCs w:val="20"/>
              </w:rPr>
              <w:t>Если предприятие применяет МСФО (IFRS) 7, ссылка на МСФО (IAS) 32 заменяется ссылкой на МСФО (IFRS) 7.</w:t>
            </w:r>
          </w:p>
          <w:bookmarkStart w:id="15" w:name="_ftn3"/>
          <w:p w:rsidR="00BB1376" w:rsidRDefault="00BB1376" w:rsidP="00BB1376">
            <w:pPr>
              <w:pStyle w:val="a3"/>
              <w:jc w:val="both"/>
              <w:rPr>
                <w:color w:val="626262"/>
                <w:sz w:val="20"/>
                <w:szCs w:val="20"/>
              </w:rPr>
            </w:pPr>
            <w:r>
              <w:rPr>
                <w:color w:val="626262"/>
                <w:sz w:val="20"/>
                <w:szCs w:val="20"/>
              </w:rPr>
              <w:fldChar w:fldCharType="begin"/>
            </w:r>
            <w:r>
              <w:rPr>
                <w:color w:val="626262"/>
                <w:sz w:val="20"/>
                <w:szCs w:val="20"/>
              </w:rPr>
              <w:instrText xml:space="preserve"> HYPERLINK "http://www.kz-adviser.kz/official/32-ifrs/207-ias39" \l "_ftnref3" </w:instrText>
            </w:r>
            <w:r>
              <w:rPr>
                <w:color w:val="626262"/>
                <w:sz w:val="20"/>
                <w:szCs w:val="20"/>
              </w:rPr>
              <w:fldChar w:fldCharType="separate"/>
            </w:r>
            <w:r>
              <w:rPr>
                <w:rStyle w:val="a6"/>
                <w:sz w:val="20"/>
                <w:szCs w:val="20"/>
              </w:rPr>
              <w:t>[‡]</w:t>
            </w:r>
            <w:r>
              <w:rPr>
                <w:color w:val="626262"/>
                <w:sz w:val="20"/>
                <w:szCs w:val="20"/>
              </w:rPr>
              <w:fldChar w:fldCharType="end"/>
            </w:r>
            <w:bookmarkEnd w:id="15"/>
            <w:r>
              <w:rPr>
                <w:rStyle w:val="apple-converted-space"/>
                <w:color w:val="626262"/>
                <w:sz w:val="20"/>
                <w:szCs w:val="20"/>
              </w:rPr>
              <w:t> </w:t>
            </w:r>
            <w:r>
              <w:rPr>
                <w:color w:val="626262"/>
                <w:sz w:val="20"/>
                <w:szCs w:val="20"/>
              </w:rPr>
              <w:t>В настоящем стандарте денежные суммы выражены в «денежных единицах» (д.е.)</w:t>
            </w:r>
          </w:p>
          <w:bookmarkStart w:id="16" w:name="_ftn5"/>
          <w:bookmarkStart w:id="17" w:name="_ftn4"/>
          <w:bookmarkEnd w:id="17"/>
          <w:p w:rsidR="00BB1376" w:rsidRDefault="00BB1376" w:rsidP="00BB1376">
            <w:pPr>
              <w:pStyle w:val="a3"/>
              <w:jc w:val="both"/>
              <w:rPr>
                <w:color w:val="626262"/>
                <w:sz w:val="20"/>
                <w:szCs w:val="20"/>
              </w:rPr>
            </w:pPr>
            <w:r>
              <w:rPr>
                <w:color w:val="626262"/>
                <w:sz w:val="20"/>
                <w:szCs w:val="20"/>
              </w:rPr>
              <w:fldChar w:fldCharType="begin"/>
            </w:r>
            <w:r>
              <w:rPr>
                <w:color w:val="626262"/>
                <w:sz w:val="20"/>
                <w:szCs w:val="20"/>
              </w:rPr>
              <w:instrText xml:space="preserve"> HYPERLINK "http://www.kz-adviser.kz/official/32-ifrs/207-ias39" \l "_ftnref5" </w:instrText>
            </w:r>
            <w:r>
              <w:rPr>
                <w:color w:val="626262"/>
                <w:sz w:val="20"/>
                <w:szCs w:val="20"/>
              </w:rPr>
              <w:fldChar w:fldCharType="separate"/>
            </w:r>
            <w:r>
              <w:rPr>
                <w:rStyle w:val="a6"/>
                <w:sz w:val="20"/>
                <w:szCs w:val="20"/>
              </w:rPr>
              <w:t>[**]</w:t>
            </w:r>
            <w:r>
              <w:rPr>
                <w:color w:val="626262"/>
                <w:sz w:val="20"/>
                <w:szCs w:val="20"/>
              </w:rPr>
              <w:fldChar w:fldCharType="end"/>
            </w:r>
            <w:bookmarkEnd w:id="16"/>
            <w:r>
              <w:rPr>
                <w:rStyle w:val="apple-converted-space"/>
                <w:color w:val="626262"/>
                <w:sz w:val="20"/>
                <w:szCs w:val="20"/>
              </w:rPr>
              <w:t> </w:t>
            </w:r>
            <w:r>
              <w:rPr>
                <w:color w:val="626262"/>
                <w:sz w:val="20"/>
                <w:szCs w:val="20"/>
              </w:rPr>
              <w:t>В настоящем стандарте денежные суммы выражены в «денежных единицах» (д.е.).</w:t>
            </w:r>
          </w:p>
          <w:bookmarkStart w:id="18" w:name="_ftn6"/>
          <w:p w:rsidR="00BB1376" w:rsidRDefault="00BB1376" w:rsidP="00BB1376">
            <w:pPr>
              <w:pStyle w:val="a3"/>
              <w:jc w:val="both"/>
              <w:rPr>
                <w:color w:val="626262"/>
                <w:sz w:val="20"/>
                <w:szCs w:val="20"/>
              </w:rPr>
            </w:pPr>
            <w:r>
              <w:rPr>
                <w:color w:val="626262"/>
                <w:sz w:val="20"/>
                <w:szCs w:val="20"/>
              </w:rPr>
              <w:fldChar w:fldCharType="begin"/>
            </w:r>
            <w:r>
              <w:rPr>
                <w:color w:val="626262"/>
                <w:sz w:val="20"/>
                <w:szCs w:val="20"/>
              </w:rPr>
              <w:instrText xml:space="preserve"> HYPERLINK "http://www.kz-adviser.kz/official/32-ifrs/207-ias39" \l "_ftnref6" </w:instrText>
            </w:r>
            <w:r>
              <w:rPr>
                <w:color w:val="626262"/>
                <w:sz w:val="20"/>
                <w:szCs w:val="20"/>
              </w:rPr>
              <w:fldChar w:fldCharType="separate"/>
            </w:r>
            <w:r>
              <w:rPr>
                <w:rStyle w:val="a6"/>
                <w:sz w:val="20"/>
                <w:szCs w:val="20"/>
              </w:rPr>
              <w:t>[6]</w:t>
            </w:r>
            <w:r>
              <w:rPr>
                <w:color w:val="626262"/>
                <w:sz w:val="20"/>
                <w:szCs w:val="20"/>
              </w:rPr>
              <w:fldChar w:fldCharType="end"/>
            </w:r>
            <w:bookmarkEnd w:id="18"/>
            <w:r>
              <w:rPr>
                <w:rStyle w:val="apple-converted-space"/>
                <w:color w:val="626262"/>
                <w:sz w:val="20"/>
                <w:szCs w:val="20"/>
              </w:rPr>
              <w:t> </w:t>
            </w:r>
            <w:r>
              <w:rPr>
                <w:color w:val="626262"/>
                <w:sz w:val="20"/>
                <w:szCs w:val="20"/>
              </w:rPr>
              <w:t>Параграф 39 МСФО (IAS) 37 содержит указания относительно того, как определять наилучшую расчетную оценку в диапазоне возможных результатов.</w:t>
            </w:r>
          </w:p>
          <w:bookmarkStart w:id="19" w:name="_ftn7"/>
          <w:p w:rsidR="00BB1376" w:rsidRDefault="00BB1376" w:rsidP="00BB1376">
            <w:pPr>
              <w:pStyle w:val="a3"/>
              <w:jc w:val="both"/>
              <w:rPr>
                <w:color w:val="626262"/>
                <w:sz w:val="20"/>
                <w:szCs w:val="20"/>
              </w:rPr>
            </w:pPr>
            <w:r>
              <w:rPr>
                <w:color w:val="626262"/>
                <w:sz w:val="20"/>
                <w:szCs w:val="20"/>
              </w:rPr>
              <w:fldChar w:fldCharType="begin"/>
            </w:r>
            <w:r>
              <w:rPr>
                <w:color w:val="626262"/>
                <w:sz w:val="20"/>
                <w:szCs w:val="20"/>
              </w:rPr>
              <w:instrText xml:space="preserve"> HYPERLINK "http://www.kz-adviser.kz/official/32-ifrs/207-ias39" \l "_ftnref7" </w:instrText>
            </w:r>
            <w:r>
              <w:rPr>
                <w:color w:val="626262"/>
                <w:sz w:val="20"/>
                <w:szCs w:val="20"/>
              </w:rPr>
              <w:fldChar w:fldCharType="separate"/>
            </w:r>
            <w:r>
              <w:rPr>
                <w:rStyle w:val="a6"/>
                <w:sz w:val="20"/>
                <w:szCs w:val="20"/>
              </w:rPr>
              <w:t>[7]</w:t>
            </w:r>
            <w:r>
              <w:rPr>
                <w:color w:val="626262"/>
                <w:sz w:val="20"/>
                <w:szCs w:val="20"/>
              </w:rPr>
              <w:fldChar w:fldCharType="end"/>
            </w:r>
            <w:bookmarkEnd w:id="19"/>
            <w:r>
              <w:rPr>
                <w:rStyle w:val="apple-converted-space"/>
                <w:color w:val="626262"/>
                <w:sz w:val="20"/>
                <w:szCs w:val="20"/>
              </w:rPr>
              <w:t> </w:t>
            </w:r>
            <w:r>
              <w:rPr>
                <w:color w:val="626262"/>
                <w:sz w:val="20"/>
                <w:szCs w:val="20"/>
              </w:rPr>
              <w:t>В данном контексте применимы те же соображения существенности, что и во всех МСФО (IFRS).</w:t>
            </w:r>
          </w:p>
          <w:bookmarkStart w:id="20" w:name="_ftn8"/>
          <w:p w:rsidR="00BB1376" w:rsidRDefault="00BB1376" w:rsidP="00BB1376">
            <w:pPr>
              <w:pStyle w:val="a3"/>
              <w:jc w:val="both"/>
              <w:rPr>
                <w:color w:val="626262"/>
                <w:sz w:val="20"/>
                <w:szCs w:val="20"/>
              </w:rPr>
            </w:pPr>
            <w:r>
              <w:rPr>
                <w:color w:val="626262"/>
                <w:sz w:val="20"/>
                <w:szCs w:val="20"/>
              </w:rPr>
              <w:fldChar w:fldCharType="begin"/>
            </w:r>
            <w:r>
              <w:rPr>
                <w:color w:val="626262"/>
                <w:sz w:val="20"/>
                <w:szCs w:val="20"/>
              </w:rPr>
              <w:instrText xml:space="preserve"> HYPERLINK "http://www.kz-adviser.kz/official/32-ifrs/207-ias39" \l "_ftnref8" </w:instrText>
            </w:r>
            <w:r>
              <w:rPr>
                <w:color w:val="626262"/>
                <w:sz w:val="20"/>
                <w:szCs w:val="20"/>
              </w:rPr>
              <w:fldChar w:fldCharType="separate"/>
            </w:r>
            <w:r>
              <w:rPr>
                <w:rStyle w:val="a6"/>
                <w:sz w:val="20"/>
                <w:szCs w:val="20"/>
              </w:rPr>
              <w:t>[8]</w:t>
            </w:r>
            <w:r>
              <w:rPr>
                <w:color w:val="626262"/>
                <w:sz w:val="20"/>
                <w:szCs w:val="20"/>
              </w:rPr>
              <w:fldChar w:fldCharType="end"/>
            </w:r>
            <w:bookmarkEnd w:id="20"/>
            <w:r>
              <w:rPr>
                <w:rStyle w:val="apple-converted-space"/>
                <w:color w:val="626262"/>
                <w:sz w:val="20"/>
                <w:szCs w:val="20"/>
              </w:rPr>
              <w:t> </w:t>
            </w:r>
            <w:r>
              <w:rPr>
                <w:color w:val="626262"/>
                <w:sz w:val="20"/>
                <w:szCs w:val="20"/>
              </w:rPr>
              <w:t>Стандарт разрешает предприятию определять любую величину имеющихся активов или обязательств, которые отвечают определенным требованиям, т.е. в данном примере любую величину активов между 0 д.е. и 100 д.е.</w:t>
            </w:r>
          </w:p>
          <w:bookmarkStart w:id="21" w:name="_ftn9"/>
          <w:p w:rsidR="00BB1376" w:rsidRDefault="00BB1376" w:rsidP="00BB1376">
            <w:pPr>
              <w:pStyle w:val="a3"/>
              <w:jc w:val="both"/>
              <w:rPr>
                <w:color w:val="626262"/>
                <w:sz w:val="20"/>
                <w:szCs w:val="20"/>
              </w:rPr>
            </w:pPr>
            <w:r>
              <w:rPr>
                <w:color w:val="626262"/>
                <w:sz w:val="20"/>
                <w:szCs w:val="20"/>
              </w:rPr>
              <w:fldChar w:fldCharType="begin"/>
            </w:r>
            <w:r>
              <w:rPr>
                <w:color w:val="626262"/>
                <w:sz w:val="20"/>
                <w:szCs w:val="20"/>
              </w:rPr>
              <w:instrText xml:space="preserve"> HYPERLINK "http://www.kz-adviser.kz/official/32-ifrs/207-ias39" \l "_ftnref9" </w:instrText>
            </w:r>
            <w:r>
              <w:rPr>
                <w:color w:val="626262"/>
                <w:sz w:val="20"/>
                <w:szCs w:val="20"/>
              </w:rPr>
              <w:fldChar w:fldCharType="separate"/>
            </w:r>
            <w:r>
              <w:rPr>
                <w:rStyle w:val="a6"/>
                <w:sz w:val="20"/>
                <w:szCs w:val="20"/>
              </w:rPr>
              <w:t>[9]</w:t>
            </w:r>
            <w:r>
              <w:rPr>
                <w:color w:val="626262"/>
                <w:sz w:val="20"/>
                <w:szCs w:val="20"/>
              </w:rPr>
              <w:fldChar w:fldCharType="end"/>
            </w:r>
            <w:bookmarkEnd w:id="21"/>
            <w:r>
              <w:rPr>
                <w:rStyle w:val="apple-converted-space"/>
                <w:color w:val="626262"/>
                <w:sz w:val="20"/>
                <w:szCs w:val="20"/>
              </w:rPr>
              <w:t> </w:t>
            </w:r>
            <w:r>
              <w:rPr>
                <w:color w:val="626262"/>
                <w:sz w:val="20"/>
                <w:szCs w:val="20"/>
              </w:rPr>
              <w:t>Cм. параграф 49</w:t>
            </w:r>
          </w:p>
          <w:p w:rsidR="00BB1376" w:rsidRDefault="00BB1376" w:rsidP="00BB1376">
            <w:pPr>
              <w:pStyle w:val="a3"/>
              <w:jc w:val="both"/>
              <w:rPr>
                <w:color w:val="626262"/>
                <w:sz w:val="20"/>
                <w:szCs w:val="20"/>
              </w:rPr>
            </w:pPr>
            <w:r>
              <w:rPr>
                <w:color w:val="626262"/>
                <w:sz w:val="20"/>
                <w:szCs w:val="20"/>
              </w:rPr>
              <w:t> </w:t>
            </w:r>
          </w:p>
          <w:bookmarkStart w:id="22" w:name="_ftn10"/>
          <w:p w:rsidR="00BB1376" w:rsidRDefault="00BB1376" w:rsidP="00BB1376">
            <w:pPr>
              <w:pStyle w:val="a3"/>
              <w:jc w:val="both"/>
              <w:rPr>
                <w:color w:val="626262"/>
                <w:sz w:val="20"/>
                <w:szCs w:val="20"/>
              </w:rPr>
            </w:pPr>
            <w:r>
              <w:rPr>
                <w:color w:val="626262"/>
                <w:sz w:val="20"/>
                <w:szCs w:val="20"/>
              </w:rPr>
              <w:fldChar w:fldCharType="begin"/>
            </w:r>
            <w:r>
              <w:rPr>
                <w:color w:val="626262"/>
                <w:sz w:val="20"/>
                <w:szCs w:val="20"/>
              </w:rPr>
              <w:instrText xml:space="preserve"> HYPERLINK "http://www.kz-adviser.kz/official/32-ifrs/207-ias39" \l "_ftnref10" </w:instrText>
            </w:r>
            <w:r>
              <w:rPr>
                <w:color w:val="626262"/>
                <w:sz w:val="20"/>
                <w:szCs w:val="20"/>
              </w:rPr>
              <w:fldChar w:fldCharType="separate"/>
            </w:r>
            <w:r>
              <w:rPr>
                <w:rStyle w:val="a6"/>
                <w:sz w:val="20"/>
                <w:szCs w:val="20"/>
              </w:rPr>
              <w:t>[10]</w:t>
            </w:r>
            <w:r>
              <w:rPr>
                <w:color w:val="626262"/>
                <w:sz w:val="20"/>
                <w:szCs w:val="20"/>
              </w:rPr>
              <w:fldChar w:fldCharType="end"/>
            </w:r>
            <w:bookmarkEnd w:id="22"/>
            <w:r>
              <w:rPr>
                <w:color w:val="626262"/>
                <w:sz w:val="20"/>
                <w:szCs w:val="20"/>
              </w:rPr>
              <w:t>30 д.е. - (100 д.е.- 40 д.е.) = 50 процентов</w:t>
            </w:r>
          </w:p>
          <w:bookmarkStart w:id="23" w:name="_ftn11"/>
          <w:p w:rsidR="00BB1376" w:rsidRDefault="00BB1376" w:rsidP="00BB1376">
            <w:pPr>
              <w:pStyle w:val="a3"/>
              <w:jc w:val="both"/>
              <w:rPr>
                <w:color w:val="626262"/>
                <w:sz w:val="20"/>
                <w:szCs w:val="20"/>
              </w:rPr>
            </w:pPr>
            <w:r>
              <w:rPr>
                <w:color w:val="626262"/>
                <w:sz w:val="20"/>
                <w:szCs w:val="20"/>
              </w:rPr>
              <w:fldChar w:fldCharType="begin"/>
            </w:r>
            <w:r>
              <w:rPr>
                <w:color w:val="626262"/>
                <w:sz w:val="20"/>
                <w:szCs w:val="20"/>
              </w:rPr>
              <w:instrText xml:space="preserve"> HYPERLINK "http://www.kz-adviser.kz/official/32-ifrs/207-ias39" \l "_ftnref11" </w:instrText>
            </w:r>
            <w:r>
              <w:rPr>
                <w:color w:val="626262"/>
                <w:sz w:val="20"/>
                <w:szCs w:val="20"/>
              </w:rPr>
              <w:fldChar w:fldCharType="separate"/>
            </w:r>
            <w:r>
              <w:rPr>
                <w:rStyle w:val="a6"/>
                <w:sz w:val="20"/>
                <w:szCs w:val="20"/>
              </w:rPr>
              <w:t>[11]</w:t>
            </w:r>
            <w:r>
              <w:rPr>
                <w:color w:val="626262"/>
                <w:sz w:val="20"/>
                <w:szCs w:val="20"/>
              </w:rPr>
              <w:fldChar w:fldCharType="end"/>
            </w:r>
            <w:bookmarkEnd w:id="23"/>
            <w:r>
              <w:rPr>
                <w:rStyle w:val="apple-converted-space"/>
                <w:color w:val="626262"/>
                <w:sz w:val="20"/>
                <w:szCs w:val="20"/>
              </w:rPr>
              <w:t> </w:t>
            </w:r>
            <w:r>
              <w:rPr>
                <w:color w:val="626262"/>
                <w:sz w:val="20"/>
                <w:szCs w:val="20"/>
              </w:rPr>
              <w:t>см. параграфы 77 и AG94</w:t>
            </w:r>
          </w:p>
          <w:bookmarkStart w:id="24" w:name="_ftn12"/>
          <w:p w:rsidR="00BB1376" w:rsidRDefault="00BB1376" w:rsidP="00BB1376">
            <w:pPr>
              <w:pStyle w:val="a3"/>
              <w:jc w:val="both"/>
              <w:rPr>
                <w:color w:val="626262"/>
                <w:sz w:val="20"/>
                <w:szCs w:val="20"/>
              </w:rPr>
            </w:pPr>
            <w:r>
              <w:rPr>
                <w:color w:val="626262"/>
                <w:sz w:val="20"/>
                <w:szCs w:val="20"/>
              </w:rPr>
              <w:fldChar w:fldCharType="begin"/>
            </w:r>
            <w:r>
              <w:rPr>
                <w:color w:val="626262"/>
                <w:sz w:val="20"/>
                <w:szCs w:val="20"/>
              </w:rPr>
              <w:instrText xml:space="preserve"> HYPERLINK "http://www.kz-adviser.kz/official/32-ifrs/207-ias39" \l "_ftnref12" </w:instrText>
            </w:r>
            <w:r>
              <w:rPr>
                <w:color w:val="626262"/>
                <w:sz w:val="20"/>
                <w:szCs w:val="20"/>
              </w:rPr>
              <w:fldChar w:fldCharType="separate"/>
            </w:r>
            <w:r>
              <w:rPr>
                <w:rStyle w:val="a6"/>
                <w:sz w:val="20"/>
                <w:szCs w:val="20"/>
              </w:rPr>
              <w:t>[12]</w:t>
            </w:r>
            <w:r>
              <w:rPr>
                <w:color w:val="626262"/>
                <w:sz w:val="20"/>
                <w:szCs w:val="20"/>
              </w:rPr>
              <w:fldChar w:fldCharType="end"/>
            </w:r>
            <w:bookmarkEnd w:id="24"/>
            <w:r>
              <w:rPr>
                <w:rStyle w:val="apple-converted-space"/>
                <w:color w:val="626262"/>
                <w:sz w:val="20"/>
                <w:szCs w:val="20"/>
              </w:rPr>
              <w:t> </w:t>
            </w:r>
            <w:r>
              <w:rPr>
                <w:color w:val="626262"/>
                <w:sz w:val="20"/>
                <w:szCs w:val="20"/>
              </w:rPr>
              <w:t>см. параграф 75</w:t>
            </w:r>
          </w:p>
          <w:bookmarkStart w:id="25" w:name="_ftn13"/>
          <w:p w:rsidR="00BB1376" w:rsidRDefault="00BB1376" w:rsidP="00BB1376">
            <w:pPr>
              <w:pStyle w:val="a3"/>
              <w:jc w:val="both"/>
              <w:rPr>
                <w:color w:val="626262"/>
                <w:sz w:val="20"/>
                <w:szCs w:val="20"/>
              </w:rPr>
            </w:pPr>
            <w:r>
              <w:rPr>
                <w:color w:val="626262"/>
                <w:sz w:val="20"/>
                <w:szCs w:val="20"/>
              </w:rPr>
              <w:lastRenderedPageBreak/>
              <w:fldChar w:fldCharType="begin"/>
            </w:r>
            <w:r>
              <w:rPr>
                <w:color w:val="626262"/>
                <w:sz w:val="20"/>
                <w:szCs w:val="20"/>
              </w:rPr>
              <w:instrText xml:space="preserve"> HYPERLINK "http://www.kz-adviser.kz/official/32-ifrs/207-ias39" \l "_ftnref13" </w:instrText>
            </w:r>
            <w:r>
              <w:rPr>
                <w:color w:val="626262"/>
                <w:sz w:val="20"/>
                <w:szCs w:val="20"/>
              </w:rPr>
              <w:fldChar w:fldCharType="separate"/>
            </w:r>
            <w:r>
              <w:rPr>
                <w:rStyle w:val="a6"/>
                <w:sz w:val="20"/>
                <w:szCs w:val="20"/>
              </w:rPr>
              <w:t>[13]</w:t>
            </w:r>
            <w:r>
              <w:rPr>
                <w:color w:val="626262"/>
                <w:sz w:val="20"/>
                <w:szCs w:val="20"/>
              </w:rPr>
              <w:fldChar w:fldCharType="end"/>
            </w:r>
            <w:bookmarkEnd w:id="25"/>
            <w:r>
              <w:rPr>
                <w:rStyle w:val="apple-converted-space"/>
                <w:color w:val="626262"/>
                <w:sz w:val="20"/>
                <w:szCs w:val="20"/>
              </w:rPr>
              <w:t> </w:t>
            </w:r>
            <w:r>
              <w:rPr>
                <w:color w:val="626262"/>
                <w:sz w:val="20"/>
                <w:szCs w:val="20"/>
              </w:rPr>
              <w:t>В данном контексте применимы те же соображения существенности, что и во всех МСФО (IFRS).</w:t>
            </w:r>
          </w:p>
        </w:tc>
      </w:tr>
    </w:tbl>
    <w:p w:rsidR="006F6E52" w:rsidRPr="00BB1376" w:rsidRDefault="006F6E52" w:rsidP="00BB1376"/>
    <w:sectPr w:rsidR="006F6E52" w:rsidRPr="00BB1376" w:rsidSect="00167F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E574A"/>
    <w:multiLevelType w:val="multilevel"/>
    <w:tmpl w:val="E654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87078C"/>
    <w:multiLevelType w:val="multilevel"/>
    <w:tmpl w:val="8A14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90AB4"/>
    <w:rsid w:val="00040C5C"/>
    <w:rsid w:val="00101A1B"/>
    <w:rsid w:val="00167FB4"/>
    <w:rsid w:val="00175766"/>
    <w:rsid w:val="002E64BF"/>
    <w:rsid w:val="00337CBE"/>
    <w:rsid w:val="00414E79"/>
    <w:rsid w:val="004626DC"/>
    <w:rsid w:val="00490AB4"/>
    <w:rsid w:val="006C2C0F"/>
    <w:rsid w:val="006F6E52"/>
    <w:rsid w:val="00AB0337"/>
    <w:rsid w:val="00BB1376"/>
    <w:rsid w:val="00C54A8E"/>
    <w:rsid w:val="00EF7C7F"/>
    <w:rsid w:val="00F849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B4"/>
  </w:style>
  <w:style w:type="paragraph" w:styleId="4">
    <w:name w:val="heading 4"/>
    <w:basedOn w:val="a"/>
    <w:link w:val="40"/>
    <w:uiPriority w:val="9"/>
    <w:qFormat/>
    <w:rsid w:val="00AB033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490AB4"/>
  </w:style>
  <w:style w:type="paragraph" w:styleId="a3">
    <w:name w:val="Normal (Web)"/>
    <w:basedOn w:val="a"/>
    <w:uiPriority w:val="99"/>
    <w:unhideWhenUsed/>
    <w:rsid w:val="00490AB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90AB4"/>
    <w:rPr>
      <w:b/>
      <w:bCs/>
    </w:rPr>
  </w:style>
  <w:style w:type="character" w:customStyle="1" w:styleId="40">
    <w:name w:val="Заголовок 4 Знак"/>
    <w:basedOn w:val="a0"/>
    <w:link w:val="4"/>
    <w:uiPriority w:val="9"/>
    <w:rsid w:val="00AB0337"/>
    <w:rPr>
      <w:rFonts w:ascii="Times New Roman" w:eastAsia="Times New Roman" w:hAnsi="Times New Roman" w:cs="Times New Roman"/>
      <w:b/>
      <w:bCs/>
      <w:sz w:val="24"/>
      <w:szCs w:val="24"/>
    </w:rPr>
  </w:style>
  <w:style w:type="character" w:customStyle="1" w:styleId="apple-converted-space">
    <w:name w:val="apple-converted-space"/>
    <w:basedOn w:val="a0"/>
    <w:rsid w:val="00AB0337"/>
  </w:style>
  <w:style w:type="character" w:styleId="a5">
    <w:name w:val="Emphasis"/>
    <w:basedOn w:val="a0"/>
    <w:uiPriority w:val="20"/>
    <w:qFormat/>
    <w:rsid w:val="00AB0337"/>
    <w:rPr>
      <w:i/>
      <w:iCs/>
    </w:rPr>
  </w:style>
  <w:style w:type="character" w:styleId="a6">
    <w:name w:val="Hyperlink"/>
    <w:basedOn w:val="a0"/>
    <w:uiPriority w:val="99"/>
    <w:semiHidden/>
    <w:unhideWhenUsed/>
    <w:rsid w:val="00AB0337"/>
    <w:rPr>
      <w:color w:val="0000FF"/>
      <w:u w:val="single"/>
    </w:rPr>
  </w:style>
  <w:style w:type="paragraph" w:customStyle="1" w:styleId="kurstext">
    <w:name w:val="kurs_text"/>
    <w:basedOn w:val="a"/>
    <w:rsid w:val="00AB0337"/>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FollowedHyperlink"/>
    <w:basedOn w:val="a0"/>
    <w:uiPriority w:val="99"/>
    <w:semiHidden/>
    <w:unhideWhenUsed/>
    <w:rsid w:val="00BB1376"/>
    <w:rPr>
      <w:color w:val="800080"/>
      <w:u w:val="single"/>
    </w:rPr>
  </w:style>
  <w:style w:type="paragraph" w:styleId="a8">
    <w:name w:val="Balloon Text"/>
    <w:basedOn w:val="a"/>
    <w:link w:val="a9"/>
    <w:uiPriority w:val="99"/>
    <w:semiHidden/>
    <w:unhideWhenUsed/>
    <w:rsid w:val="00BB13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B13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27337">
      <w:bodyDiv w:val="1"/>
      <w:marLeft w:val="0"/>
      <w:marRight w:val="0"/>
      <w:marTop w:val="0"/>
      <w:marBottom w:val="0"/>
      <w:divBdr>
        <w:top w:val="none" w:sz="0" w:space="0" w:color="auto"/>
        <w:left w:val="none" w:sz="0" w:space="0" w:color="auto"/>
        <w:bottom w:val="none" w:sz="0" w:space="0" w:color="auto"/>
        <w:right w:val="none" w:sz="0" w:space="0" w:color="auto"/>
      </w:divBdr>
      <w:divsChild>
        <w:div w:id="2044361921">
          <w:marLeft w:val="0"/>
          <w:marRight w:val="0"/>
          <w:marTop w:val="0"/>
          <w:marBottom w:val="0"/>
          <w:divBdr>
            <w:top w:val="none" w:sz="0" w:space="0" w:color="auto"/>
            <w:left w:val="none" w:sz="0" w:space="0" w:color="auto"/>
            <w:bottom w:val="none" w:sz="0" w:space="0" w:color="auto"/>
            <w:right w:val="none" w:sz="0" w:space="0" w:color="auto"/>
          </w:divBdr>
        </w:div>
        <w:div w:id="563561310">
          <w:marLeft w:val="0"/>
          <w:marRight w:val="0"/>
          <w:marTop w:val="0"/>
          <w:marBottom w:val="0"/>
          <w:divBdr>
            <w:top w:val="none" w:sz="0" w:space="0" w:color="auto"/>
            <w:left w:val="none" w:sz="0" w:space="0" w:color="auto"/>
            <w:bottom w:val="none" w:sz="0" w:space="0" w:color="auto"/>
            <w:right w:val="none" w:sz="0" w:space="0" w:color="auto"/>
          </w:divBdr>
        </w:div>
      </w:divsChild>
    </w:div>
    <w:div w:id="316226066">
      <w:bodyDiv w:val="1"/>
      <w:marLeft w:val="0"/>
      <w:marRight w:val="0"/>
      <w:marTop w:val="0"/>
      <w:marBottom w:val="0"/>
      <w:divBdr>
        <w:top w:val="none" w:sz="0" w:space="0" w:color="auto"/>
        <w:left w:val="none" w:sz="0" w:space="0" w:color="auto"/>
        <w:bottom w:val="none" w:sz="0" w:space="0" w:color="auto"/>
        <w:right w:val="none" w:sz="0" w:space="0" w:color="auto"/>
      </w:divBdr>
      <w:divsChild>
        <w:div w:id="1296452717">
          <w:marLeft w:val="0"/>
          <w:marRight w:val="0"/>
          <w:marTop w:val="0"/>
          <w:marBottom w:val="0"/>
          <w:divBdr>
            <w:top w:val="none" w:sz="0" w:space="0" w:color="auto"/>
            <w:left w:val="none" w:sz="0" w:space="0" w:color="auto"/>
            <w:bottom w:val="none" w:sz="0" w:space="0" w:color="auto"/>
            <w:right w:val="none" w:sz="0" w:space="0" w:color="auto"/>
          </w:divBdr>
        </w:div>
        <w:div w:id="250509294">
          <w:marLeft w:val="0"/>
          <w:marRight w:val="0"/>
          <w:marTop w:val="0"/>
          <w:marBottom w:val="0"/>
          <w:divBdr>
            <w:top w:val="none" w:sz="0" w:space="0" w:color="auto"/>
            <w:left w:val="none" w:sz="0" w:space="0" w:color="auto"/>
            <w:bottom w:val="none" w:sz="0" w:space="0" w:color="auto"/>
            <w:right w:val="none" w:sz="0" w:space="0" w:color="auto"/>
          </w:divBdr>
        </w:div>
      </w:divsChild>
    </w:div>
    <w:div w:id="429352164">
      <w:bodyDiv w:val="1"/>
      <w:marLeft w:val="0"/>
      <w:marRight w:val="0"/>
      <w:marTop w:val="0"/>
      <w:marBottom w:val="0"/>
      <w:divBdr>
        <w:top w:val="none" w:sz="0" w:space="0" w:color="auto"/>
        <w:left w:val="none" w:sz="0" w:space="0" w:color="auto"/>
        <w:bottom w:val="none" w:sz="0" w:space="0" w:color="auto"/>
        <w:right w:val="none" w:sz="0" w:space="0" w:color="auto"/>
      </w:divBdr>
      <w:divsChild>
        <w:div w:id="1598292487">
          <w:marLeft w:val="0"/>
          <w:marRight w:val="0"/>
          <w:marTop w:val="0"/>
          <w:marBottom w:val="0"/>
          <w:divBdr>
            <w:top w:val="none" w:sz="0" w:space="0" w:color="auto"/>
            <w:left w:val="none" w:sz="0" w:space="0" w:color="auto"/>
            <w:bottom w:val="none" w:sz="0" w:space="0" w:color="auto"/>
            <w:right w:val="none" w:sz="0" w:space="0" w:color="auto"/>
          </w:divBdr>
        </w:div>
        <w:div w:id="1346902705">
          <w:marLeft w:val="0"/>
          <w:marRight w:val="0"/>
          <w:marTop w:val="0"/>
          <w:marBottom w:val="0"/>
          <w:divBdr>
            <w:top w:val="none" w:sz="0" w:space="0" w:color="auto"/>
            <w:left w:val="none" w:sz="0" w:space="0" w:color="auto"/>
            <w:bottom w:val="none" w:sz="0" w:space="0" w:color="auto"/>
            <w:right w:val="none" w:sz="0" w:space="0" w:color="auto"/>
          </w:divBdr>
        </w:div>
      </w:divsChild>
    </w:div>
    <w:div w:id="707336779">
      <w:bodyDiv w:val="1"/>
      <w:marLeft w:val="0"/>
      <w:marRight w:val="0"/>
      <w:marTop w:val="0"/>
      <w:marBottom w:val="0"/>
      <w:divBdr>
        <w:top w:val="none" w:sz="0" w:space="0" w:color="auto"/>
        <w:left w:val="none" w:sz="0" w:space="0" w:color="auto"/>
        <w:bottom w:val="none" w:sz="0" w:space="0" w:color="auto"/>
        <w:right w:val="none" w:sz="0" w:space="0" w:color="auto"/>
      </w:divBdr>
      <w:divsChild>
        <w:div w:id="889727381">
          <w:marLeft w:val="0"/>
          <w:marRight w:val="0"/>
          <w:marTop w:val="0"/>
          <w:marBottom w:val="0"/>
          <w:divBdr>
            <w:top w:val="none" w:sz="0" w:space="0" w:color="auto"/>
            <w:left w:val="none" w:sz="0" w:space="0" w:color="auto"/>
            <w:bottom w:val="none" w:sz="0" w:space="0" w:color="auto"/>
            <w:right w:val="none" w:sz="0" w:space="0" w:color="auto"/>
          </w:divBdr>
        </w:div>
        <w:div w:id="936013716">
          <w:marLeft w:val="0"/>
          <w:marRight w:val="0"/>
          <w:marTop w:val="0"/>
          <w:marBottom w:val="0"/>
          <w:divBdr>
            <w:top w:val="none" w:sz="0" w:space="0" w:color="auto"/>
            <w:left w:val="none" w:sz="0" w:space="0" w:color="auto"/>
            <w:bottom w:val="none" w:sz="0" w:space="0" w:color="auto"/>
            <w:right w:val="none" w:sz="0" w:space="0" w:color="auto"/>
          </w:divBdr>
        </w:div>
      </w:divsChild>
    </w:div>
    <w:div w:id="717126435">
      <w:bodyDiv w:val="1"/>
      <w:marLeft w:val="0"/>
      <w:marRight w:val="0"/>
      <w:marTop w:val="0"/>
      <w:marBottom w:val="0"/>
      <w:divBdr>
        <w:top w:val="none" w:sz="0" w:space="0" w:color="auto"/>
        <w:left w:val="none" w:sz="0" w:space="0" w:color="auto"/>
        <w:bottom w:val="none" w:sz="0" w:space="0" w:color="auto"/>
        <w:right w:val="none" w:sz="0" w:space="0" w:color="auto"/>
      </w:divBdr>
      <w:divsChild>
        <w:div w:id="151993699">
          <w:marLeft w:val="0"/>
          <w:marRight w:val="0"/>
          <w:marTop w:val="0"/>
          <w:marBottom w:val="0"/>
          <w:divBdr>
            <w:top w:val="none" w:sz="0" w:space="0" w:color="auto"/>
            <w:left w:val="none" w:sz="0" w:space="0" w:color="auto"/>
            <w:bottom w:val="none" w:sz="0" w:space="0" w:color="auto"/>
            <w:right w:val="none" w:sz="0" w:space="0" w:color="auto"/>
          </w:divBdr>
        </w:div>
        <w:div w:id="152259961">
          <w:marLeft w:val="0"/>
          <w:marRight w:val="0"/>
          <w:marTop w:val="0"/>
          <w:marBottom w:val="0"/>
          <w:divBdr>
            <w:top w:val="none" w:sz="0" w:space="0" w:color="auto"/>
            <w:left w:val="none" w:sz="0" w:space="0" w:color="auto"/>
            <w:bottom w:val="none" w:sz="0" w:space="0" w:color="auto"/>
            <w:right w:val="none" w:sz="0" w:space="0" w:color="auto"/>
          </w:divBdr>
        </w:div>
      </w:divsChild>
    </w:div>
    <w:div w:id="786119192">
      <w:bodyDiv w:val="1"/>
      <w:marLeft w:val="0"/>
      <w:marRight w:val="0"/>
      <w:marTop w:val="0"/>
      <w:marBottom w:val="0"/>
      <w:divBdr>
        <w:top w:val="none" w:sz="0" w:space="0" w:color="auto"/>
        <w:left w:val="none" w:sz="0" w:space="0" w:color="auto"/>
        <w:bottom w:val="none" w:sz="0" w:space="0" w:color="auto"/>
        <w:right w:val="none" w:sz="0" w:space="0" w:color="auto"/>
      </w:divBdr>
      <w:divsChild>
        <w:div w:id="1677808647">
          <w:marLeft w:val="0"/>
          <w:marRight w:val="0"/>
          <w:marTop w:val="0"/>
          <w:marBottom w:val="0"/>
          <w:divBdr>
            <w:top w:val="none" w:sz="0" w:space="0" w:color="auto"/>
            <w:left w:val="none" w:sz="0" w:space="0" w:color="auto"/>
            <w:bottom w:val="none" w:sz="0" w:space="0" w:color="auto"/>
            <w:right w:val="none" w:sz="0" w:space="0" w:color="auto"/>
          </w:divBdr>
        </w:div>
      </w:divsChild>
    </w:div>
    <w:div w:id="1719939795">
      <w:bodyDiv w:val="1"/>
      <w:marLeft w:val="0"/>
      <w:marRight w:val="0"/>
      <w:marTop w:val="0"/>
      <w:marBottom w:val="0"/>
      <w:divBdr>
        <w:top w:val="none" w:sz="0" w:space="0" w:color="auto"/>
        <w:left w:val="none" w:sz="0" w:space="0" w:color="auto"/>
        <w:bottom w:val="none" w:sz="0" w:space="0" w:color="auto"/>
        <w:right w:val="none" w:sz="0" w:space="0" w:color="auto"/>
      </w:divBdr>
      <w:divsChild>
        <w:div w:id="1314682747">
          <w:marLeft w:val="0"/>
          <w:marRight w:val="0"/>
          <w:marTop w:val="0"/>
          <w:marBottom w:val="0"/>
          <w:divBdr>
            <w:top w:val="none" w:sz="0" w:space="0" w:color="auto"/>
            <w:left w:val="none" w:sz="0" w:space="0" w:color="auto"/>
            <w:bottom w:val="none" w:sz="0" w:space="0" w:color="auto"/>
            <w:right w:val="none" w:sz="0" w:space="0" w:color="auto"/>
          </w:divBdr>
        </w:div>
        <w:div w:id="1209755264">
          <w:marLeft w:val="0"/>
          <w:marRight w:val="0"/>
          <w:marTop w:val="0"/>
          <w:marBottom w:val="0"/>
          <w:divBdr>
            <w:top w:val="none" w:sz="0" w:space="0" w:color="auto"/>
            <w:left w:val="none" w:sz="0" w:space="0" w:color="auto"/>
            <w:bottom w:val="none" w:sz="0" w:space="0" w:color="auto"/>
            <w:right w:val="none" w:sz="0" w:space="0" w:color="auto"/>
          </w:divBdr>
        </w:div>
      </w:divsChild>
    </w:div>
    <w:div w:id="1901818839">
      <w:bodyDiv w:val="1"/>
      <w:marLeft w:val="0"/>
      <w:marRight w:val="0"/>
      <w:marTop w:val="0"/>
      <w:marBottom w:val="0"/>
      <w:divBdr>
        <w:top w:val="none" w:sz="0" w:space="0" w:color="auto"/>
        <w:left w:val="none" w:sz="0" w:space="0" w:color="auto"/>
        <w:bottom w:val="none" w:sz="0" w:space="0" w:color="auto"/>
        <w:right w:val="none" w:sz="0" w:space="0" w:color="auto"/>
      </w:divBdr>
      <w:divsChild>
        <w:div w:id="1853108616">
          <w:marLeft w:val="0"/>
          <w:marRight w:val="0"/>
          <w:marTop w:val="0"/>
          <w:marBottom w:val="0"/>
          <w:divBdr>
            <w:top w:val="none" w:sz="0" w:space="0" w:color="auto"/>
            <w:left w:val="none" w:sz="0" w:space="0" w:color="auto"/>
            <w:bottom w:val="none" w:sz="0" w:space="0" w:color="auto"/>
            <w:right w:val="none" w:sz="0" w:space="0" w:color="auto"/>
          </w:divBdr>
        </w:div>
        <w:div w:id="851989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70</Pages>
  <Words>43322</Words>
  <Characters>246937</Characters>
  <Application>Microsoft Office Word</Application>
  <DocSecurity>0</DocSecurity>
  <Lines>2057</Lines>
  <Paragraphs>579</Paragraphs>
  <ScaleCrop>false</ScaleCrop>
  <Company>Reanimator Extreme Edition</Company>
  <LinksUpToDate>false</LinksUpToDate>
  <CharactersWithSpaces>289680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OfficePC</dc:creator>
  <cp:keywords/>
  <dc:description/>
  <cp:lastModifiedBy>OfficePC</cp:lastModifiedBy>
  <cp:revision>10</cp:revision>
  <dcterms:created xsi:type="dcterms:W3CDTF">2011-10-20T06:09:00Z</dcterms:created>
  <dcterms:modified xsi:type="dcterms:W3CDTF">2011-10-20T09:46:00Z</dcterms:modified>
</cp:coreProperties>
</file>